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bidi w:val="0"/>
        <w:spacing w:lineRule="auto" w:line="264" w:before="0" w:after="15"/>
        <w:ind w:firstLine="567" w:left="0" w:right="57"/>
        <w:jc w:val="both"/>
        <w:rPr/>
      </w:pPr>
      <w:r>
        <w:rPr/>
      </w:r>
    </w:p>
    <w:tbl>
      <w:tblPr>
        <w:tblW w:w="4349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49"/>
      </w:tblGrid>
      <w:tr>
        <w:trPr/>
        <w:tc>
          <w:tcPr>
            <w:tcW w:w="4349" w:type="dxa"/>
            <w:tcBorders/>
          </w:tcPr>
          <w:p>
            <w:pPr>
              <w:pStyle w:val="Style9"/>
              <w:widowControl w:val="false"/>
              <w:suppressLineNumbers/>
              <w:bidi w:val="0"/>
              <w:spacing w:lineRule="auto" w:line="264" w:before="0" w:after="15"/>
              <w:ind w:hanging="0" w:left="-57" w:right="22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sectPr>
          <w:type w:val="nextPage"/>
          <w:pgSz w:w="11906" w:h="16838"/>
          <w:pgMar w:left="1170" w:right="777" w:gutter="0" w:header="0" w:top="585" w:footer="0" w:bottom="748"/>
          <w:pgNumType w:fmt="none"/>
          <w:formProt w:val="false"/>
          <w:textDirection w:val="lrTb"/>
          <w:docGrid w:type="default" w:linePitch="100" w:charSpace="0"/>
        </w:sectPr>
      </w:pPr>
    </w:p>
    <w:tbl>
      <w:tblPr>
        <w:tblW w:w="4346" w:type="dxa"/>
        <w:jc w:val="righ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346"/>
      </w:tblGrid>
      <w:tr>
        <w:trPr/>
        <w:tc>
          <w:tcPr>
            <w:tcW w:w="4346" w:type="dxa"/>
            <w:tcBorders/>
          </w:tcPr>
          <w:p>
            <w:pPr>
              <w:pStyle w:val="Style9"/>
              <w:widowControl w:val="false"/>
              <w:suppressLineNumbers/>
              <w:bidi w:val="0"/>
              <w:spacing w:lineRule="auto" w:line="264" w:before="0" w:after="15"/>
              <w:ind w:hanging="0" w:left="-57" w:right="0"/>
              <w:jc w:val="both"/>
              <w:rPr>
                <w:color w:val="auto"/>
                <w:shd w:fill="auto" w:val="clear"/>
              </w:rPr>
            </w:pPr>
            <w:r>
              <w:rPr>
                <w:color w:val="000000"/>
                <w:sz w:val="20"/>
                <w:szCs w:val="20"/>
                <w:shd w:fill="auto" w:val="clear"/>
              </w:rPr>
              <w:t>Приложение № 2 к Порядку разработки, реализации и оценки эффективности муниципальных программ, реализуемых на территории муниципального образования город Новоузенск и Новоузенского муниципального района от “____”_______2025 года № ______</w:t>
            </w:r>
          </w:p>
        </w:tc>
      </w:tr>
    </w:tbl>
    <w:p>
      <w:pPr>
        <w:pStyle w:val="Normal"/>
        <w:spacing w:lineRule="auto" w:line="264" w:before="0" w:after="10"/>
        <w:ind w:hanging="10" w:left="0" w:right="709"/>
        <w:jc w:val="center"/>
        <w:rPr>
          <w:color w:val="auto"/>
        </w:rPr>
      </w:pPr>
      <w:r>
        <w:rPr>
          <w:b/>
          <w:bCs/>
          <w:color w:val="auto"/>
          <w:sz w:val="28"/>
          <w:szCs w:val="28"/>
        </w:rPr>
        <w:t xml:space="preserve">Муниципальная программа </w:t>
      </w:r>
      <w:r>
        <w:rPr>
          <w:rFonts w:cs="Times New Roman"/>
          <w:b/>
          <w:bCs/>
          <w:color w:val="auto"/>
          <w:sz w:val="28"/>
          <w:szCs w:val="28"/>
        </w:rPr>
        <w:br/>
        <w:t>«Профилактика правонарушений и усиление борьбы с преступностью на территории Новоузенского района на 2026-2030 годы»</w:t>
      </w:r>
    </w:p>
    <w:p>
      <w:pPr>
        <w:pStyle w:val="Normal"/>
        <w:spacing w:lineRule="auto" w:line="264" w:before="0" w:after="10"/>
        <w:ind w:hanging="10" w:left="0" w:right="715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spacing w:lineRule="auto" w:line="264" w:before="0" w:after="10"/>
        <w:ind w:hanging="10" w:left="0" w:right="715"/>
        <w:jc w:val="center"/>
        <w:rPr>
          <w:color w:val="auto"/>
        </w:rPr>
      </w:pPr>
      <w:r>
        <w:rPr>
          <w:color w:val="auto"/>
          <w:sz w:val="28"/>
          <w:szCs w:val="28"/>
        </w:rPr>
        <w:t xml:space="preserve">Раздел 1. Стратегические приоритеты муниципальной программы  </w:t>
      </w:r>
    </w:p>
    <w:p>
      <w:pPr>
        <w:pStyle w:val="Normal"/>
        <w:spacing w:lineRule="auto" w:line="264" w:before="0" w:after="10"/>
        <w:ind w:hanging="10" w:left="714" w:right="171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"/>
        <w:spacing w:lineRule="auto" w:line="264" w:before="0" w:after="10"/>
        <w:ind w:hanging="10" w:left="0" w:right="17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Глава 1. Приоритеты и цели муниципальной программы </w:t>
      </w:r>
    </w:p>
    <w:p>
      <w:pPr>
        <w:pStyle w:val="Normal"/>
        <w:spacing w:lineRule="auto" w:line="252" w:before="0" w:after="0"/>
        <w:ind w:hanging="0" w:left="0" w:right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 w:left="-15" w:right="64"/>
        <w:rPr/>
      </w:pPr>
      <w:r>
        <w:rPr>
          <w:b w:val="false"/>
          <w:bCs w:val="false"/>
          <w:sz w:val="28"/>
          <w:szCs w:val="28"/>
        </w:rPr>
        <w:tab/>
        <w:t xml:space="preserve">Основанием для разработки муниципальной программы </w:t>
      </w:r>
      <w:r>
        <w:rPr>
          <w:rFonts w:cs="Times New Roman"/>
          <w:b w:val="false"/>
          <w:bCs w:val="false"/>
          <w:color w:val="111111"/>
          <w:sz w:val="28"/>
          <w:szCs w:val="28"/>
        </w:rPr>
        <w:t xml:space="preserve">«Профилактика правонарушений и усиление борьбы с преступностью на территории Новоузенского района на 2026-2030 </w:t>
      </w:r>
      <w:r>
        <w:rPr>
          <w:rFonts w:cs="Times New Roman"/>
          <w:b w:val="false"/>
          <w:bCs w:val="false"/>
          <w:color w:val="000000"/>
          <w:sz w:val="28"/>
          <w:szCs w:val="28"/>
        </w:rPr>
        <w:t>годы»</w:t>
      </w:r>
      <w:r>
        <w:rPr>
          <w:b w:val="false"/>
          <w:bCs w:val="false"/>
          <w:sz w:val="28"/>
          <w:szCs w:val="28"/>
        </w:rPr>
        <w:t xml:space="preserve"> (далее – муниципальная программа) являются: </w:t>
      </w:r>
    </w:p>
    <w:p>
      <w:pPr>
        <w:pStyle w:val="Normal"/>
        <w:ind w:hanging="0" w:left="0" w:right="4094"/>
        <w:rPr/>
      </w:pPr>
      <w:r>
        <w:rPr>
          <w:b w:val="false"/>
          <w:bCs w:val="false"/>
          <w:sz w:val="28"/>
          <w:szCs w:val="28"/>
        </w:rPr>
        <w:t xml:space="preserve">          </w:t>
      </w:r>
      <w:r>
        <w:rPr>
          <w:rFonts w:ascii="Liberation Serif" w:hAnsi="Liberation Serif"/>
          <w:b w:val="false"/>
          <w:bCs w:val="false"/>
          <w:sz w:val="28"/>
          <w:szCs w:val="28"/>
        </w:rPr>
        <w:t xml:space="preserve"> </w:t>
      </w:r>
      <w:r>
        <w:rPr>
          <w:rFonts w:ascii="Liberation Serif" w:hAnsi="Liberation Serif"/>
          <w:b w:val="false"/>
          <w:bCs w:val="false"/>
          <w:sz w:val="28"/>
          <w:szCs w:val="28"/>
        </w:rPr>
        <w:t xml:space="preserve">1. </w:t>
      </w: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Конституция Российской Федерации;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b w:val="false"/>
          <w:bCs w:val="false"/>
          <w:sz w:val="28"/>
          <w:szCs w:val="28"/>
          <w:lang w:val="ru-RU"/>
        </w:rPr>
      </w:pP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 xml:space="preserve">           </w:t>
      </w: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2. Федеральный закон от 23.06.2016 №182-ФЗ «Об основах системы профилактики правонарушений в Российской Федерации»;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firstLine="680" w:left="0" w:right="340"/>
        <w:jc w:val="both"/>
        <w:rPr>
          <w:rFonts w:ascii="Liberation Serif" w:hAnsi="Liberation Serif"/>
          <w:b w:val="false"/>
          <w:bCs w:val="false"/>
          <w:sz w:val="28"/>
          <w:szCs w:val="28"/>
          <w:lang w:val="ru-RU"/>
        </w:rPr>
      </w:pP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3. Федеральный закон от 06.10.2003 №131-ФЗ «Об общих принципах организации местного самоуправления в Российской Федерации».</w:t>
      </w:r>
    </w:p>
    <w:p>
      <w:pPr>
        <w:pStyle w:val="Normal"/>
        <w:ind w:firstLine="710" w:left="-15" w:right="64"/>
        <w:rPr>
          <w:rFonts w:ascii="Liberation Serif" w:hAnsi="Liberation Serif"/>
          <w:b w:val="false"/>
          <w:bCs w:val="false"/>
          <w:sz w:val="28"/>
          <w:szCs w:val="28"/>
          <w:lang w:val="ru-RU"/>
        </w:rPr>
      </w:pPr>
      <w:r>
        <w:rPr>
          <w:rFonts w:ascii="Liberation Serif" w:hAnsi="Liberation Serif"/>
          <w:b w:val="false"/>
          <w:bCs w:val="false"/>
          <w:sz w:val="28"/>
          <w:szCs w:val="28"/>
          <w:lang w:val="ru-RU"/>
        </w:rPr>
        <w:t>4. Федеральным законом от 28 июня 2014 года № 172-ФЗ «О стратегическом планировании в Российской Федерации».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firstLine="680" w:left="0" w:right="0"/>
        <w:jc w:val="both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  <w:t>5. Указ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года».</w:t>
      </w:r>
    </w:p>
    <w:p>
      <w:pPr>
        <w:pStyle w:val="Style11"/>
        <w:spacing w:lineRule="auto" w:line="288" w:before="0" w:after="0"/>
        <w:ind w:firstLine="567" w:left="0" w:right="0"/>
        <w:jc w:val="both"/>
        <w:rPr>
          <w:rFonts w:ascii="Liberation Serif" w:hAnsi="Liberation Serif" w:cs="Tempora LGC Uni"/>
          <w:sz w:val="28"/>
          <w:szCs w:val="28"/>
        </w:rPr>
      </w:pPr>
      <w:r>
        <w:rPr>
          <w:rFonts w:cs="Tempora LGC Uni" w:ascii="Liberation Serif" w:hAnsi="Liberation Serif"/>
          <w:sz w:val="28"/>
          <w:szCs w:val="28"/>
        </w:rPr>
        <w:t xml:space="preserve">  </w:t>
      </w:r>
      <w:r>
        <w:rPr>
          <w:rFonts w:cs="Tempora LGC Uni" w:ascii="Liberation Serif" w:hAnsi="Liberation Serif"/>
          <w:sz w:val="28"/>
          <w:szCs w:val="28"/>
        </w:rPr>
        <w:t>6. Закон Саратовской области от 28 апреля 2015 года № 56-ОЗ «О стратегическом планировании в Саратовской области».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/>
      </w:pPr>
      <w:r>
        <w:rPr>
          <w:rFonts w:eastAsia="Times New Roman" w:cs="Tempora LGC Uni" w:ascii="Liberation Serif" w:hAnsi="Liberation Serif"/>
          <w:b w:val="false"/>
          <w:bCs w:val="false"/>
          <w:color w:val="000000"/>
          <w:sz w:val="28"/>
          <w:szCs w:val="28"/>
          <w:u w:val="none"/>
          <w:lang w:eastAsia="ru-RU"/>
        </w:rPr>
        <w:tab/>
        <w:t>7</w:t>
      </w:r>
      <w:r>
        <w:rPr>
          <w:rFonts w:ascii="Liberation Serif" w:hAnsi="Liberation Serif"/>
          <w:b w:val="false"/>
          <w:bCs w:val="false"/>
          <w:sz w:val="28"/>
          <w:szCs w:val="28"/>
          <w:lang w:eastAsia="ru-RU"/>
        </w:rPr>
        <w:t>. Стратегии социально-экономического развития Новоузенского муниципального района Саратовской области на период до 2030 года и на перспективу до 2036 года".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firstLine="680" w:left="0" w:right="113"/>
        <w:jc w:val="both"/>
        <w:rPr>
          <w:rFonts w:ascii="Liberation Serif" w:hAnsi="Liberation Serif"/>
          <w:b w:val="false"/>
          <w:bCs w:val="false"/>
          <w:sz w:val="28"/>
          <w:szCs w:val="28"/>
        </w:rPr>
      </w:pPr>
      <w:r>
        <w:rPr>
          <w:rFonts w:ascii="Liberation Serif" w:hAnsi="Liberation Serif"/>
          <w:b w:val="false"/>
          <w:bCs w:val="false"/>
          <w:sz w:val="28"/>
          <w:szCs w:val="28"/>
        </w:rPr>
      </w:r>
    </w:p>
    <w:p>
      <w:pPr>
        <w:pStyle w:val="Heading3"/>
        <w:spacing w:before="40" w:after="0"/>
        <w:ind w:hanging="0" w:left="0" w:right="0"/>
        <w:jc w:val="both"/>
        <w:rPr/>
      </w:pPr>
      <w:r>
        <w:rPr>
          <w:rFonts w:eastAsia="Times New Roman" w:cs="Tempora LGC Uni" w:ascii="Liberation Serif" w:hAnsi="Liberation Serif"/>
          <w:b w:val="false"/>
          <w:bCs w:val="false"/>
          <w:color w:val="000000"/>
          <w:sz w:val="28"/>
          <w:szCs w:val="28"/>
          <w:u w:val="none"/>
          <w:lang w:eastAsia="ru-RU"/>
        </w:rPr>
        <w:tab/>
        <w:t>Целью муниципальной программы является c</w:t>
      </w:r>
      <w:r>
        <w:rPr>
          <w:rFonts w:eastAsia="Times New Roman" w:cs="Tempora LGC Uni" w:ascii="Liberation Serif" w:hAnsi="Liberation Serif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  <w:u w:val="none"/>
          <w:lang w:eastAsia="ru-RU"/>
        </w:rPr>
        <w:t>нижение уровня преступности, укрепление законности и правопорядка на территории Новоузенского муниципального района</w:t>
      </w:r>
      <w:r>
        <w:rPr>
          <w:rFonts w:eastAsia="Times New Roman" w:cs="Tempora LGC Uni" w:ascii="Liberation Serif" w:hAnsi="Liberation Serif"/>
          <w:b w:val="false"/>
          <w:bCs w:val="false"/>
          <w:color w:val="000000"/>
          <w:sz w:val="28"/>
          <w:szCs w:val="28"/>
          <w:u w:val="none"/>
          <w:lang w:eastAsia="ru-RU"/>
        </w:rPr>
        <w:t xml:space="preserve">. Цель муниципальной программы направлена на </w:t>
      </w: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  <w:t>укрепление на территории Новоузенского района законности, правопорядка, защиты прав и свобод граждан, совершенствование взаимодействия органов исполнительной и законодательной власти, местного самоуправления, правоохранительных, контролирующих органов, учреждений социальной сферы, общественных объединений в вопросах усиления борьбы с преступностью, формирование эффективной системы профилактики правонарушений.</w:t>
      </w:r>
    </w:p>
    <w:p>
      <w:pPr>
        <w:pStyle w:val="Normal"/>
        <w:jc w:val="both"/>
        <w:rPr>
          <w:rFonts w:ascii="Liberation Serif" w:hAnsi="Liberation Serif"/>
          <w:b w:val="false"/>
          <w:bCs w:val="false"/>
          <w:color w:val="000000"/>
          <w:sz w:val="28"/>
          <w:szCs w:val="28"/>
        </w:rPr>
      </w:pPr>
      <w:r>
        <w:rPr>
          <w:rFonts w:ascii="Liberation Serif" w:hAnsi="Liberation Serif"/>
          <w:b w:val="false"/>
          <w:bCs w:val="false"/>
          <w:color w:val="000000"/>
          <w:sz w:val="28"/>
          <w:szCs w:val="28"/>
        </w:rPr>
      </w:r>
    </w:p>
    <w:p>
      <w:pPr>
        <w:pStyle w:val="Normal"/>
        <w:widowControl/>
        <w:bidi w:val="0"/>
        <w:spacing w:lineRule="auto" w:line="264" w:before="0" w:after="15"/>
        <w:ind w:hanging="0" w:left="0" w:right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2. Анализ текущего состояния сферы реализации муниципальной программы </w:t>
      </w:r>
    </w:p>
    <w:p>
      <w:pPr>
        <w:pStyle w:val="Normal"/>
        <w:spacing w:lineRule="auto" w:line="252" w:before="0" w:after="0"/>
        <w:ind w:hanging="0" w:left="609" w:right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/>
      </w:pPr>
      <w:r>
        <w:rPr>
          <w:rFonts w:ascii="Liberation Serif" w:hAnsi="Liberation Serif"/>
          <w:sz w:val="28"/>
          <w:szCs w:val="28"/>
        </w:rPr>
        <w:t xml:space="preserve">               </w:t>
      </w:r>
      <w:r>
        <w:rPr>
          <w:rFonts w:ascii="Liberation Serif" w:hAnsi="Liberation Serif"/>
          <w:sz w:val="28"/>
          <w:szCs w:val="28"/>
        </w:rPr>
        <w:t>Наибольшую социальную напряженность в государстве вызывает вопрос о состоянии преступности. Криминогенный потенциал нынешнего российского общества весьма высок. Преступность, существуя в обществе, пронизывает различные его сферы, определяет состояние общественной и личной безопасности, препятствует эффективному проведению социально- экономических преобразований. За январь-декабрь 2024 года в КУСП МО МВД России «Новоузенский» Саратовской области было зарегистрировано 3390 (+0,5%, 3373) сообщений о преступлениях, об административных правонарушениях, о происшествиях, из них возбуждено 161 уголовное дело (-3,0%, 166). Отказано в возбуждении уголовного дела – 685 (+18,9%, 576). По подследственности (территориальности) было передано 473 сообщения (+5,8%, 447). Из отказных материалов возбуждено 18 уголовных дел (+100,0%, 9). 8 возбуждено по инициативе прокурора (+60,0%; 5), 10 – по инициативе ОВД (+150,0%, 4). Выросло количество материалов, приобщенных к материалам ранее зарегистрированных сообщений с 400 до 502 (+25,5%); снизилось количество материалов приобщенных к номенклатурному делу с 621 до 532 (-14,3%). На 33,3% уменьшилось количество возвращенных после отмены первоначально вынесенного постановления об отказе в возбуждении уголовного дела (с 54 до 36). Всего рассмотрено 1319 сообщений о преступлениях (+10,9%; 1189), из них: в срок до 3 суток – 827 (+10,1%; 751); от 3 до 10 суток – 345 (+6,2%; 325); от 10 до 30 суток – 147 (+30,1%; 113), нарушений установленного срока их рассмотрения не допущено. В ходе проверки соблюдения учетно-регистрационной дисциплины и статистической работы выявлено 199 нарушений (+155,1%, 78), в том числе 14 (+16,7%, 12) укрытых преступлений. За январь-декабрь 2024 года на территории Новоузенского района выросло общее количество зарегистрированных преступлений на 7,3% (с 219 до 235). Касательно категории тяжких и особо тяжких преступлений можно сказать, что динамика их регистрации является не стабильной. Так, за 12 месяцев 2024 года, их количество существенно увеличилось – на 60,5%, и составило 61 преступление (38).  Раскрываемость тяжких и особо тяжких преступлений на территории Новоузенского района 60,3% (67,7%). По итогам января-декабря 2024 года выросло количество преступлений против личности до 74 (12,1% 66). С начала 2024 года не выявлено случаев причинения тяжкого вреда здоровью (1), следовательно ПТВЗ со смертельным исходом не допущено (0). В декабре 2024 года на территории Новоузенского района выявлено 4 факта убийства (с покушениями) (2). В течение последних трех лет на территории Новоузенского района отсутствуют преступления, предусмотренные статьями 131-135 УК РФ. Однако, за 12 месяцев 2024 года был допущено 2 факта изнасилования.  В быту не совершено фактов причинения среднего вреда здоровью (0), убийств(0). Основную часть бытовых преступлений составляют побои – 5 (10), причинение легкого вреда здоровью – 8 (5). Удельный вес преступлений против собственности составил – 43,0% от всех зарегистрированных преступлений. Число зарегистрированных имущественных преступлений выросло на 23,2% (с 82 до 101). Их раскрываемость составила 37,9% (58,4%). Показатели криминальной активности по отдельным видам имущественных преступлений выразились в увеличении фактов мошенничества (общеуголовной направленности) на 131,6% (с 19 до 44), фактов разбоя – 1 (0), и в снижении количества грабежей на 100,0% (с 1 до 0), общего количества краж на 5,7% (с 53 до 50). Кражи занимают 49,5% в общей структуре хищений различных форм собственности. Из положительного стоит отметить отсутствие краж автомобилей (0), краж из баз, складов и магазинов (4), а также снижение фактов квартирных краж на 42,9% (с 7 до 4). Выросло количество краж скота – +85,7% (с 7 до 13), раскрываемость данного вида преступлений 14,3%. Положительным моментом является отсутствие таких преступлений, как грабежи, вымогательства, хулиганство. Выросло количество преступлений, совершенных в общественных местах на 14,7%, с 34 до 39. При этом количество преступлений, совершенных на улицах в целом по Межмуниципальному отделу выросло на 40,0%, с 25 до 35. На территории Новоузенского района выросло количество преступлений по линии экономической безопасности и противодействию коррупции на 40,0% (с 5 до 7). Снижена эффективность работы по пресечению преступлений экономической направленности непосредственно подразделениями ЭбиПК, которыми задокументировано всего 2 преступления (-33,3%, 3). Данные преступления относятся к категории тяжких и особо тяжких, 1 из них в сфере мошенничества.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Таким образом особое значение приобретает выработка комплексных мер, направленных на выявление, предупреждение, устраненение причин и условий,  способствующих совершению преступлений и иных правонарушений. Система профилактики правонарушений предусматривает консолидацию усилий органов государственной власти и местного самоуправления, правоохранительных органов и населения в противодействии преступности и правонарушений, в нейтрализации иных негативных тенденций в борьбе с преступностью и правонарушениями на территории района.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widowControl/>
        <w:bidi w:val="0"/>
        <w:spacing w:lineRule="auto" w:line="264" w:before="0" w:after="15"/>
        <w:ind w:hanging="0" w:left="0" w:right="3175"/>
        <w:jc w:val="right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 3. Задачи муниципального управления, способы их эффективного решения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/>
      </w:pPr>
      <w:r>
        <w:rPr>
          <w:rFonts w:ascii="Liberation Serif" w:hAnsi="Liberation Serif"/>
          <w:sz w:val="28"/>
          <w:szCs w:val="28"/>
        </w:rPr>
        <w:tab/>
        <w:t xml:space="preserve">Целенаправленная деятельность органов местного самоуправления и органов внутренних дел позволит держать ситуацию в вопросах </w:t>
      </w:r>
      <w:r>
        <w:rPr>
          <w:rFonts w:ascii="Liberation Serif" w:hAnsi="Liberation Serif"/>
          <w:color w:val="000000"/>
          <w:sz w:val="28"/>
          <w:szCs w:val="28"/>
          <w:shd w:fill="auto" w:val="clear"/>
        </w:rPr>
        <w:t xml:space="preserve">обеспечения безопасности района и его жителей под контролем и сохранять ее стабильной. </w:t>
      </w:r>
    </w:p>
    <w:p>
      <w:pPr>
        <w:pStyle w:val="3"/>
        <w:shd w:val="clear" w:fill="auto"/>
        <w:spacing w:lineRule="exact" w:line="220" w:before="0" w:after="0"/>
        <w:ind w:hanging="0" w:left="0" w:right="4094"/>
        <w:rPr>
          <w:rFonts w:ascii="Liberation Serif" w:hAnsi="Liberation Serif"/>
          <w:color w:val="000000"/>
          <w:sz w:val="28"/>
          <w:szCs w:val="28"/>
          <w:shd w:fill="auto" w:val="clear"/>
        </w:rPr>
      </w:pPr>
      <w:r>
        <w:rPr>
          <w:rFonts w:ascii="Liberation Serif" w:hAnsi="Liberation Serif"/>
          <w:color w:val="000000"/>
          <w:sz w:val="28"/>
          <w:szCs w:val="28"/>
          <w:shd w:fill="auto" w:val="clear"/>
        </w:rPr>
        <w:tab/>
        <w:t>Программа предусматривает решение следующих задач:</w:t>
      </w:r>
    </w:p>
    <w:p>
      <w:pPr>
        <w:pStyle w:val="Normal"/>
        <w:spacing w:before="0" w:after="0"/>
        <w:rPr/>
      </w:pPr>
      <w:r>
        <w:rPr>
          <w:rFonts w:ascii="Liberation Serif" w:hAnsi="Liberation Serif"/>
          <w:color w:val="000000"/>
          <w:sz w:val="28"/>
          <w:szCs w:val="28"/>
          <w:shd w:fill="auto" w:val="clear"/>
          <w:lang w:val="ru-RU"/>
        </w:rPr>
        <w:t xml:space="preserve">-  </w:t>
      </w:r>
      <w:r>
        <w:rPr>
          <w:rFonts w:ascii="Liberation Serif" w:hAnsi="Liberation Serif"/>
          <w:color w:val="000000"/>
          <w:sz w:val="28"/>
          <w:szCs w:val="28"/>
          <w:shd w:fill="auto" w:val="clear"/>
        </w:rPr>
        <w:t>Снижение уровня преступности на территории района;</w:t>
      </w:r>
    </w:p>
    <w:p>
      <w:pPr>
        <w:pStyle w:val="Normal"/>
        <w:jc w:val="both"/>
        <w:rPr/>
      </w:pPr>
      <w:r>
        <w:rPr>
          <w:lang w:val="ru-RU"/>
        </w:rPr>
        <w:t>- Выявление и устранение причин и условий, способствующих совершению правонарушений;</w:t>
      </w:r>
    </w:p>
    <w:p>
      <w:pPr>
        <w:pStyle w:val="Normal"/>
        <w:spacing w:before="0" w:after="0"/>
        <w:rPr/>
      </w:pPr>
      <w:r>
        <w:rPr>
          <w:rFonts w:ascii="Liberation Serif" w:hAnsi="Liberation Serif"/>
          <w:color w:val="000000"/>
          <w:sz w:val="28"/>
          <w:szCs w:val="28"/>
          <w:shd w:fill="auto" w:val="clear"/>
          <w:lang w:val="ru-RU"/>
        </w:rPr>
        <w:t>- У</w:t>
      </w:r>
      <w:r>
        <w:rPr>
          <w:rFonts w:ascii="Liberation Serif" w:hAnsi="Liberation Serif"/>
          <w:color w:val="000000"/>
          <w:sz w:val="28"/>
          <w:szCs w:val="28"/>
          <w:shd w:fill="auto" w:val="clear"/>
        </w:rPr>
        <w:t>крепление правопорядка;</w:t>
      </w:r>
    </w:p>
    <w:p>
      <w:pPr>
        <w:pStyle w:val="Normal"/>
        <w:spacing w:before="0" w:after="0"/>
        <w:rPr/>
      </w:pPr>
      <w:r>
        <w:rPr>
          <w:rFonts w:ascii="Liberation Serif" w:hAnsi="Liberation Serif"/>
          <w:color w:val="000000"/>
          <w:sz w:val="28"/>
          <w:szCs w:val="28"/>
          <w:shd w:fill="auto" w:val="clear"/>
        </w:rPr>
        <w:t xml:space="preserve">- Вовлечение граждан  </w:t>
      </w:r>
      <w:r>
        <w:rPr>
          <w:rFonts w:ascii="Liberation Serif" w:hAnsi="Liberation Serif"/>
          <w:b w:val="false"/>
          <w:i w:val="false"/>
          <w:caps w:val="false"/>
          <w:smallCaps w:val="false"/>
          <w:color w:val="000000"/>
          <w:spacing w:val="0"/>
          <w:sz w:val="28"/>
          <w:szCs w:val="28"/>
          <w:shd w:fill="auto" w:val="clear"/>
        </w:rPr>
        <w:t>к ведению здорового образа жизни.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В результате реализации программы получится добиться определенных положительных тенденций в профилактике правонарушений на территории: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- стабилизация и создание предпосылок для снижения уровня преступности  на территории района;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- совершенствование системы социальной профилактики правонарушений, направленной на активизацию борьбы с преступностью и ресоциализацию лиц, вернувшихся из мест отбывания наказаний;</w:t>
      </w:r>
    </w:p>
    <w:p>
      <w:pPr>
        <w:pStyle w:val="Normal"/>
        <w:widowControl/>
        <w:spacing w:before="0" w:after="0"/>
        <w:ind w:hanging="0" w:left="0" w:right="0"/>
        <w:jc w:val="left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>- формирование у населения мотивации к ведению здорового образа жизни;</w:t>
      </w:r>
    </w:p>
    <w:p>
      <w:pPr>
        <w:pStyle w:val="Normal"/>
        <w:widowControl/>
        <w:suppressAutoHyphens w:val="false"/>
        <w:bidi w:val="0"/>
        <w:spacing w:lineRule="auto" w:line="264" w:before="0" w:after="15"/>
        <w:ind w:hanging="0" w:left="0" w:right="0"/>
        <w:jc w:val="both"/>
        <w:rPr>
          <w:rFonts w:ascii="Liberation Serif" w:hAnsi="Liberation Serif"/>
          <w:b w:val="false"/>
          <w:i w:val="false"/>
          <w:i w:val="false"/>
          <w:caps w:val="false"/>
          <w:smallCaps w:val="false"/>
          <w:color w:val="34343C"/>
          <w:spacing w:val="0"/>
          <w:sz w:val="28"/>
          <w:szCs w:val="28"/>
        </w:rPr>
      </w:pPr>
      <w:r>
        <w:rPr>
          <w:rFonts w:ascii="Liberation Serif" w:hAnsi="Liberation Serif"/>
          <w:b w:val="false"/>
          <w:i w:val="false"/>
          <w:caps w:val="false"/>
          <w:smallCaps w:val="false"/>
          <w:color w:val="34343C"/>
          <w:spacing w:val="0"/>
          <w:sz w:val="28"/>
          <w:szCs w:val="28"/>
        </w:rPr>
        <w:t xml:space="preserve"> </w:t>
      </w:r>
    </w:p>
    <w:p>
      <w:pPr>
        <w:pStyle w:val="Normal"/>
        <w:spacing w:lineRule="auto" w:line="264" w:before="0" w:after="10"/>
        <w:ind w:hanging="10" w:left="714" w:right="710"/>
        <w:jc w:val="center"/>
        <w:rPr/>
      </w:pPr>
      <w:r>
        <w:rPr/>
        <w:t xml:space="preserve">Раздел 2. Паспорт муниципальной программы </w:t>
      </w:r>
    </w:p>
    <w:p>
      <w:pPr>
        <w:pStyle w:val="Normal"/>
        <w:spacing w:lineRule="auto" w:line="252" w:before="0" w:after="23"/>
        <w:ind w:hanging="0" w:left="67" w:right="0"/>
        <w:jc w:val="center"/>
        <w:rPr/>
      </w:pPr>
      <w:r>
        <w:rPr/>
      </w:r>
    </w:p>
    <w:p>
      <w:pPr>
        <w:pStyle w:val="Normal"/>
        <w:numPr>
          <w:ilvl w:val="0"/>
          <w:numId w:val="1"/>
        </w:numPr>
        <w:spacing w:lineRule="auto" w:line="264" w:before="0" w:after="10"/>
        <w:ind w:hanging="360" w:left="1064" w:right="349"/>
        <w:jc w:val="center"/>
        <w:rPr/>
      </w:pPr>
      <w:r>
        <w:rPr/>
        <w:t xml:space="preserve">Основные положения </w:t>
      </w:r>
    </w:p>
    <w:p>
      <w:pPr>
        <w:pStyle w:val="Normal"/>
        <w:spacing w:before="0" w:after="4"/>
        <w:ind w:hanging="10" w:left="10" w:right="0"/>
        <w:jc w:val="right"/>
        <w:rPr/>
      </w:pPr>
      <w:r>
        <w:rPr/>
        <w:t xml:space="preserve">Таблица 1 </w:t>
      </w:r>
    </w:p>
    <w:tbl>
      <w:tblPr>
        <w:tblW w:w="14457" w:type="dxa"/>
        <w:jc w:val="left"/>
        <w:tblInd w:w="-80" w:type="dxa"/>
        <w:tblLayout w:type="fixed"/>
        <w:tblCellMar>
          <w:top w:w="12" w:type="dxa"/>
          <w:left w:w="83" w:type="dxa"/>
          <w:bottom w:w="0" w:type="dxa"/>
          <w:right w:w="88" w:type="dxa"/>
        </w:tblCellMar>
      </w:tblPr>
      <w:tblGrid>
        <w:gridCol w:w="8820"/>
        <w:gridCol w:w="5636"/>
      </w:tblGrid>
      <w:tr>
        <w:trPr>
          <w:trHeight w:val="331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кино, молодежной политики, спорта и туризма администрации Новоузенского муниципального района.</w:t>
            </w:r>
          </w:p>
        </w:tc>
      </w:tr>
      <w:tr>
        <w:trPr>
          <w:trHeight w:val="331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Соисполнители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/>
            </w:pPr>
            <w:r>
              <w:rPr/>
              <w:t>-</w:t>
            </w:r>
          </w:p>
        </w:tc>
      </w:tr>
      <w:tr>
        <w:trPr>
          <w:trHeight w:val="334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 МВД России «Новоузенский»;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 образования администрации Новоузенского муниципального района Саратовской области;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/>
            </w:pPr>
            <w:r>
              <w:rPr>
                <w:sz w:val="24"/>
                <w:szCs w:val="24"/>
              </w:rPr>
              <w:t>ГУЗ СО «Новоузенская РБ»;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кино, молодежной политики, туризма и спорта администрации Новоузенского муниципального района;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МБУК «ЦКС»;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комиссия по делам несовершеннолетних и защите их прав администрации Новоузенского муниципального района Саратовской области;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Новоузенский МФ ФКУ УИИ УФСИН России по Саратовской области,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ГБУ СО «Новоузенский центр социальной помощи семье и детям «Семья»,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Кадровый центр Новоузенского района ГКУ «Кадровый центр Саратовской области».</w:t>
            </w:r>
          </w:p>
        </w:tc>
      </w:tr>
      <w:tr>
        <w:trPr>
          <w:trHeight w:val="331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Период реализации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 г.г.</w:t>
            </w:r>
          </w:p>
        </w:tc>
      </w:tr>
      <w:tr>
        <w:trPr>
          <w:trHeight w:val="802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Цели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С</w:t>
            </w: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нижение уровня преступности, укрепление законности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и правопорядка на территории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Новоузенского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муниципального района</w:t>
            </w:r>
          </w:p>
        </w:tc>
      </w:tr>
      <w:tr>
        <w:trPr>
          <w:trHeight w:val="334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Финансовое обеспечение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 -0,0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г. – 5,0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 – 5,0 тыс.руб.</w:t>
            </w:r>
          </w:p>
        </w:tc>
      </w:tr>
      <w:tr>
        <w:trPr>
          <w:trHeight w:val="562" w:hRule="atLeast"/>
        </w:trPr>
        <w:tc>
          <w:tcPr>
            <w:tcW w:w="8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Связь с национальными целями Российской Федерации, государственной программой Российской Федерации, государственной программой Саратовской области</w:t>
            </w:r>
          </w:p>
        </w:tc>
        <w:tc>
          <w:tcPr>
            <w:tcW w:w="5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/>
            </w:pPr>
            <w:r>
              <w:rPr/>
              <w:t>-</w:t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numPr>
          <w:ilvl w:val="0"/>
          <w:numId w:val="1"/>
        </w:numPr>
        <w:spacing w:lineRule="auto" w:line="264" w:before="0" w:after="10"/>
        <w:ind w:hanging="360" w:left="1064" w:right="349"/>
        <w:jc w:val="center"/>
        <w:rPr/>
      </w:pPr>
      <w:r>
        <w:rPr/>
        <w:t xml:space="preserve">Показатели муниципальной программы </w:t>
      </w:r>
    </w:p>
    <w:p>
      <w:pPr>
        <w:pStyle w:val="Normal"/>
        <w:spacing w:before="0" w:after="4"/>
        <w:ind w:hanging="10" w:left="10" w:right="0"/>
        <w:jc w:val="right"/>
        <w:rPr/>
      </w:pPr>
      <w:r>
        <w:rPr/>
        <w:t xml:space="preserve">Таблица 2 </w:t>
      </w:r>
    </w:p>
    <w:tbl>
      <w:tblPr>
        <w:tblW w:w="14460" w:type="dxa"/>
        <w:jc w:val="left"/>
        <w:tblInd w:w="45" w:type="dxa"/>
        <w:tblLayout w:type="fixed"/>
        <w:tblCellMar>
          <w:top w:w="12" w:type="dxa"/>
          <w:left w:w="3" w:type="dxa"/>
          <w:bottom w:w="0" w:type="dxa"/>
          <w:right w:w="3" w:type="dxa"/>
        </w:tblCellMar>
      </w:tblPr>
      <w:tblGrid>
        <w:gridCol w:w="568"/>
        <w:gridCol w:w="1125"/>
        <w:gridCol w:w="661"/>
        <w:gridCol w:w="1051"/>
        <w:gridCol w:w="1080"/>
        <w:gridCol w:w="1484"/>
        <w:gridCol w:w="736"/>
        <w:gridCol w:w="734"/>
        <w:gridCol w:w="901"/>
        <w:gridCol w:w="629"/>
        <w:gridCol w:w="58"/>
        <w:gridCol w:w="1472"/>
        <w:gridCol w:w="1080"/>
        <w:gridCol w:w="1352"/>
        <w:gridCol w:w="1528"/>
      </w:tblGrid>
      <w:tr>
        <w:trPr>
          <w:trHeight w:val="300" w:hRule="atLeast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0"/>
              <w:ind w:hanging="0" w:left="84" w:right="0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>
            <w:pPr>
              <w:pStyle w:val="Normal"/>
              <w:spacing w:lineRule="auto" w:line="252" w:before="0" w:after="0"/>
              <w:ind w:hanging="0" w:left="55" w:right="0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Наименование показателя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6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Уровень показателя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10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3"/>
              <w:ind w:hanging="0" w:left="101" w:right="0"/>
              <w:jc w:val="left"/>
              <w:rPr>
                <w:sz w:val="20"/>
              </w:rPr>
            </w:pPr>
            <w:r>
              <w:rPr>
                <w:sz w:val="20"/>
              </w:rPr>
              <w:t>Признак</w:t>
            </w:r>
          </w:p>
          <w:p>
            <w:pPr>
              <w:pStyle w:val="Normal"/>
              <w:spacing w:lineRule="auto" w:line="252" w:before="0" w:after="0"/>
              <w:ind w:hanging="10" w:left="83" w:right="0"/>
              <w:jc w:val="left"/>
              <w:rPr>
                <w:sz w:val="20"/>
              </w:rPr>
            </w:pPr>
            <w:r>
              <w:rPr>
                <w:sz w:val="20"/>
              </w:rPr>
              <w:t>возрастания/убывания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Единица измерения</w:t>
            </w:r>
          </w:p>
          <w:p>
            <w:pPr>
              <w:pStyle w:val="Normal"/>
              <w:spacing w:lineRule="auto" w:line="252" w:before="0" w:after="0"/>
              <w:ind w:hanging="0" w:left="50" w:right="0"/>
              <w:rPr/>
            </w:pPr>
            <w:r>
              <w:rPr>
                <w:sz w:val="20"/>
              </w:rPr>
              <w:t>(по ОКЕИ</w:t>
            </w:r>
            <w:r>
              <w:rPr>
                <w:sz w:val="20"/>
                <w:vertAlign w:val="superscript"/>
              </w:rPr>
              <w:t>3</w:t>
            </w:r>
            <w:r>
              <w:rPr>
                <w:sz w:val="20"/>
              </w:rPr>
              <w:t>)</w:t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1" w:right="0"/>
              <w:jc w:val="left"/>
              <w:rPr/>
            </w:pPr>
            <w:r>
              <w:rPr>
                <w:sz w:val="20"/>
              </w:rPr>
              <w:t>Базовое значение</w:t>
            </w:r>
            <w:r>
              <w:rPr>
                <w:sz w:val="20"/>
                <w:vertAlign w:val="superscript"/>
              </w:rPr>
              <w:t>4</w:t>
            </w:r>
          </w:p>
        </w:tc>
        <w:tc>
          <w:tcPr>
            <w:tcW w:w="453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4"/>
              <w:jc w:val="center"/>
              <w:rPr>
                <w:sz w:val="20"/>
              </w:rPr>
            </w:pPr>
            <w:r>
              <w:rPr>
                <w:sz w:val="20"/>
              </w:rPr>
              <w:t>Значения показателя по годам</w:t>
            </w:r>
          </w:p>
        </w:tc>
        <w:tc>
          <w:tcPr>
            <w:tcW w:w="10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9" w:left="87" w:right="0"/>
              <w:jc w:val="center"/>
              <w:rPr/>
            </w:pPr>
            <w:r>
              <w:rPr>
                <w:sz w:val="20"/>
              </w:rPr>
              <w:t>Документ</w:t>
            </w:r>
            <w:r>
              <w:rPr>
                <w:sz w:val="20"/>
                <w:vertAlign w:val="superscript"/>
              </w:rPr>
              <w:t>6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8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Ответственный за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достижение показателя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Связь с показателями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>национальн ых целей</w:t>
            </w:r>
            <w:r>
              <w:rPr>
                <w:sz w:val="20"/>
                <w:vertAlign w:val="superscript"/>
              </w:rPr>
              <w:t>7</w:t>
            </w:r>
          </w:p>
        </w:tc>
      </w:tr>
      <w:tr>
        <w:trPr>
          <w:trHeight w:val="1256" w:hRule="atLeast"/>
        </w:trPr>
        <w:tc>
          <w:tcPr>
            <w:tcW w:w="56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12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66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051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08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9" w:left="0" w:right="0"/>
              <w:jc w:val="center"/>
              <w:rPr>
                <w:sz w:val="20"/>
                <w:vertAlign w:val="superscript"/>
              </w:rPr>
            </w:pPr>
            <w:r>
              <w:rPr>
                <w:sz w:val="20"/>
                <w:vertAlign w:val="superscript"/>
              </w:rPr>
              <w:t>2025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674" w:leader="none"/>
                <w:tab w:val="right" w:pos="876" w:leader="none"/>
              </w:tabs>
              <w:spacing w:lineRule="auto" w:line="252" w:before="0" w:after="0"/>
              <w:ind w:hanging="0" w:left="-10" w:right="0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0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108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35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14459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sz w:val="24"/>
                <w:szCs w:val="24"/>
              </w:rPr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Цель муниципальной программы «</w:t>
            </w:r>
            <w:r>
              <w:rPr>
                <w:rFonts w:eastAsia="Times New Roman" w:cs="Tempora LGC Uni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С</w:t>
            </w: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нижение уровня преступности, укрепление законности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и правопорядка на территории Новоузенского муниципального района</w:t>
            </w: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»</w:t>
            </w:r>
          </w:p>
        </w:tc>
      </w:tr>
      <w:tr>
        <w:trPr>
          <w:trHeight w:val="559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организованных и проведенных профилактических мероприятий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мероприятий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 МВД России «Новоузенский»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59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безработных, принявших участие в беседах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Кадровый центр Новоузенского района ГКУ «Кадровый центр Саратовской области»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59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лиц, освободившихся из мест лишения свободы, охваченных деятельностью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МО МВД России «Новоузенский»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6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организованных и проведенных рейдовых мероприятий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мероприятий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Новоузенский МФ ФКУ УИИ УФСИН России по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Саратовской области, ПДН, МО МВД России «Новоузенски» (по согласованию)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6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лиц, которым предоставлена услуга по вхождению личности  в новую социальную среду.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Новоузенский МФ ФКУ УИИ УФСИН России по Саратовской области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86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/>
            </w:pPr>
            <w:r>
              <w:rPr>
                <w:sz w:val="24"/>
                <w:szCs w:val="24"/>
              </w:rPr>
              <w:t>Количество организованных и проведенных Единых дней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/>
            </w:pPr>
            <w:r>
              <w:rPr>
                <w:sz w:val="24"/>
                <w:szCs w:val="24"/>
              </w:rPr>
              <w:t>Кол- во  мероприятий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/>
            </w:pPr>
            <w:r>
              <w:rPr>
                <w:sz w:val="24"/>
                <w:szCs w:val="24"/>
              </w:rPr>
              <w:t>Учреждения системы  профилактики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59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трудоустроенных граждан на заявленные вакансиии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Кадровый центр Новоузенского района ГКУ «Кадровый центр Саратовской области»администрация Новоузенского МР, работодатели Новоузенского МР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Количество распространенной наглядной агитации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штук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культуры, кино, молодежной политики, туризма и спорта администрации Новоузенского МР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1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Количество опубликованных статей, направленных на недопущение совершения  преступлений и правонарушений, профилактику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штук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Отдел культуры, кино, молодежной политики, туризма и спорта администрации Новоузенского МР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  молодежи, охваченной досуговыми мероприятиями.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человек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3972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3973</w:t>
            </w:r>
          </w:p>
        </w:tc>
        <w:tc>
          <w:tcPr>
            <w:tcW w:w="6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3974</w:t>
            </w:r>
          </w:p>
        </w:tc>
        <w:tc>
          <w:tcPr>
            <w:tcW w:w="1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3975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культуры, кино, молодежной политики, спорта и туризма администрации Новоузенского муниципального района.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  проведенных спортивных мероприятий, направленных на здоровый  образ жизни</w:t>
            </w:r>
          </w:p>
        </w:tc>
        <w:tc>
          <w:tcPr>
            <w:tcW w:w="6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/>
            </w:pPr>
            <w:r>
              <w:rPr>
                <w:sz w:val="24"/>
                <w:szCs w:val="24"/>
              </w:rPr>
              <w:t>Кол- во мероприятий</w:t>
            </w:r>
          </w:p>
        </w:tc>
        <w:tc>
          <w:tcPr>
            <w:tcW w:w="148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87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64" w:before="0" w:after="15"/>
              <w:ind w:hanging="0" w:left="0" w:righ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/>
            </w:pPr>
            <w:r>
              <w:rPr>
                <w:sz w:val="24"/>
                <w:szCs w:val="24"/>
              </w:rPr>
              <w:t>Отдел культуры, кино, молодежной политики, спорта и туризма администрации Новоузенского муниципального района.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ind w:hanging="0" w:left="0" w:right="64"/>
        <w:rPr>
          <w:sz w:val="20"/>
        </w:rPr>
      </w:pPr>
      <w:r>
        <w:rPr>
          <w:sz w:val="20"/>
        </w:rPr>
      </w:r>
    </w:p>
    <w:p>
      <w:pPr>
        <w:pStyle w:val="Normal"/>
        <w:ind w:hanging="0" w:left="0" w:right="64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64" w:before="0" w:after="10"/>
        <w:ind w:hanging="10" w:left="714" w:right="422"/>
        <w:jc w:val="center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sz w:val="24"/>
          <w:szCs w:val="24"/>
        </w:rPr>
        <w:t>Структура муниципальной программы</w:t>
      </w:r>
    </w:p>
    <w:p>
      <w:pPr>
        <w:pStyle w:val="Normal"/>
        <w:spacing w:lineRule="auto" w:line="264" w:before="0" w:after="10"/>
        <w:ind w:hanging="10" w:left="714" w:right="422"/>
        <w:jc w:val="center"/>
        <w:rPr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«</w:t>
      </w:r>
      <w:r>
        <w:rPr>
          <w:rFonts w:cs="Times New Roman"/>
          <w:b w:val="false"/>
          <w:bCs w:val="false"/>
          <w:color w:val="auto"/>
          <w:sz w:val="24"/>
          <w:szCs w:val="24"/>
        </w:rPr>
        <w:t xml:space="preserve">Профилактика правонарушений и усиление борьбы с преступностью на территории Новоузенского района </w:t>
      </w:r>
    </w:p>
    <w:p>
      <w:pPr>
        <w:pStyle w:val="Normal"/>
        <w:spacing w:lineRule="auto" w:line="264" w:before="0" w:after="10"/>
        <w:ind w:hanging="10" w:left="714" w:right="422"/>
        <w:jc w:val="center"/>
        <w:rPr>
          <w:b w:val="false"/>
          <w:bCs w:val="false"/>
          <w:sz w:val="24"/>
          <w:szCs w:val="24"/>
        </w:rPr>
      </w:pPr>
      <w:r>
        <w:rPr>
          <w:rFonts w:cs="Times New Roman"/>
          <w:b w:val="false"/>
          <w:bCs w:val="false"/>
          <w:color w:val="auto"/>
          <w:sz w:val="24"/>
          <w:szCs w:val="24"/>
        </w:rPr>
        <w:t>на 2026-2030 годы</w:t>
      </w:r>
      <w:r>
        <w:rPr>
          <w:b w:val="false"/>
          <w:bCs w:val="false"/>
          <w:sz w:val="24"/>
          <w:szCs w:val="24"/>
        </w:rPr>
        <w:t xml:space="preserve">» </w:t>
      </w:r>
    </w:p>
    <w:p>
      <w:pPr>
        <w:pStyle w:val="Normal"/>
        <w:spacing w:before="0" w:after="4"/>
        <w:ind w:hanging="10" w:left="10" w:right="81"/>
        <w:jc w:val="right"/>
        <w:rPr/>
      </w:pPr>
      <w:r>
        <w:rPr/>
        <w:t xml:space="preserve">Таблица </w:t>
      </w:r>
      <w:r>
        <w:rPr>
          <w:sz w:val="24"/>
        </w:rPr>
        <w:t>3</w:t>
      </w:r>
    </w:p>
    <w:tbl>
      <w:tblPr>
        <w:tblW w:w="14220" w:type="dxa"/>
        <w:jc w:val="left"/>
        <w:tblInd w:w="90" w:type="dxa"/>
        <w:tblLayout w:type="fixed"/>
        <w:tblCellMar>
          <w:top w:w="10" w:type="dxa"/>
          <w:left w:w="101" w:type="dxa"/>
          <w:bottom w:w="0" w:type="dxa"/>
          <w:right w:w="59" w:type="dxa"/>
        </w:tblCellMar>
      </w:tblPr>
      <w:tblGrid>
        <w:gridCol w:w="2040"/>
        <w:gridCol w:w="2880"/>
        <w:gridCol w:w="4260"/>
        <w:gridCol w:w="3569"/>
        <w:gridCol w:w="1471"/>
      </w:tblGrid>
      <w:tr>
        <w:trPr>
          <w:trHeight w:val="691" w:hRule="atLeast"/>
        </w:trPr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2" w:right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t>п/п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Задачи структурного элемента</w:t>
            </w:r>
          </w:p>
        </w:tc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 за реализацию структурного элемента</w:t>
            </w:r>
          </w:p>
        </w:tc>
        <w:tc>
          <w:tcPr>
            <w:tcW w:w="3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</w:rPr>
            </w:pPr>
            <w:r>
              <w:rPr>
                <w:sz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4"/>
              </w:rPr>
              <w:t xml:space="preserve">Связь с показателями </w:t>
            </w:r>
            <w:r>
              <w:rPr>
                <w:b/>
                <w:sz w:val="24"/>
                <w:vertAlign w:val="superscript"/>
              </w:rPr>
              <w:t>1</w:t>
            </w:r>
          </w:p>
        </w:tc>
      </w:tr>
      <w:tr>
        <w:trPr>
          <w:trHeight w:val="288" w:hRule="atLeast"/>
        </w:trPr>
        <w:tc>
          <w:tcPr>
            <w:tcW w:w="142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113" w:right="238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>
              <w:rPr>
                <w:rFonts w:ascii="Liberation Serif" w:hAnsi="Liberation Serif"/>
                <w:sz w:val="24"/>
                <w:szCs w:val="24"/>
              </w:rPr>
              <w:t>Комплекс процессных мероприятий: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113" w:right="2381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“</w:t>
            </w:r>
            <w:r>
              <w:rPr>
                <w:rFonts w:ascii="Liberation Serif" w:hAnsi="Liberation Serif"/>
                <w:b w:val="false"/>
                <w:i w:val="false"/>
                <w:caps w:val="false"/>
                <w:smallCaps w:val="false"/>
                <w:color w:val="444444"/>
                <w:spacing w:val="0"/>
                <w:sz w:val="24"/>
                <w:szCs w:val="24"/>
              </w:rPr>
              <w:t xml:space="preserve">Организация работы, направленной на профилактику правонарушений на территории Новоузенского муниципального района </w:t>
            </w:r>
            <w:r>
              <w:rPr>
                <w:rFonts w:ascii="Liberation Serif" w:hAnsi="Liberation Serif"/>
                <w:sz w:val="24"/>
                <w:szCs w:val="24"/>
              </w:rPr>
              <w:t>”.</w:t>
            </w:r>
          </w:p>
        </w:tc>
      </w:tr>
      <w:tr>
        <w:trPr>
          <w:trHeight w:val="286" w:hRule="atLeast"/>
        </w:trPr>
        <w:tc>
          <w:tcPr>
            <w:tcW w:w="2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1070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680" w:left="113" w:right="2381"/>
              <w:jc w:val="center"/>
              <w:rPr/>
            </w:pPr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sz w:val="24"/>
                <w:szCs w:val="24"/>
              </w:rPr>
              <w:t>1. Наименование структурного элемента</w:t>
            </w:r>
          </w:p>
        </w:tc>
        <w:tc>
          <w:tcPr>
            <w:tcW w:w="1471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1" w:hRule="atLeast"/>
        </w:trPr>
        <w:tc>
          <w:tcPr>
            <w:tcW w:w="2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Задача 1</w:t>
            </w:r>
          </w:p>
        </w:tc>
        <w:tc>
          <w:tcPr>
            <w:tcW w:w="2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Снижение уровня преступности на территории района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МО МВД России «Новоузенский»,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Кадровый центр Новоузенского района ГКУ «Кадровый центр Саратовской области»,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Новоузенский МФ ФКУ УИИ УФСИН России по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Саратовской области, ПДН, МО МВД России «Новоузенски» (по согласованию),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учреждения системы  профилактики</w:t>
            </w:r>
          </w:p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hd w:fill="auto" w:val="clear"/>
              </w:rPr>
            </w:pPr>
            <w:r>
              <w:rPr>
                <w:shd w:fill="auto" w:val="clear"/>
              </w:rPr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1, 2, 3, 4, 5, 6, 7</w:t>
            </w:r>
          </w:p>
        </w:tc>
      </w:tr>
      <w:tr>
        <w:trPr>
          <w:trHeight w:val="1" w:hRule="atLeast"/>
        </w:trPr>
        <w:tc>
          <w:tcPr>
            <w:tcW w:w="2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Задача 2</w:t>
            </w:r>
          </w:p>
        </w:tc>
        <w:tc>
          <w:tcPr>
            <w:tcW w:w="2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20"/>
                <w:tab w:val="left" w:pos="440" w:leader="none"/>
              </w:tabs>
              <w:spacing w:lineRule="auto" w:line="240" w:before="0" w:after="0"/>
              <w:ind w:firstLine="710" w:left="-440" w:right="0"/>
              <w:jc w:val="center"/>
              <w:rPr>
                <w:rFonts w:ascii="Liberation Serif" w:hAnsi="Liberation Serif" w:eastAsia="Times New Roman" w:cs="Times New Roman"/>
                <w:color w:val="auto"/>
                <w:sz w:val="24"/>
                <w:szCs w:val="24"/>
                <w:shd w:fill="auto" w:val="clear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eastAsia="ar-SA" w:bidi="ar-SA"/>
              </w:rPr>
              <w:t>Укрепление правопорядка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Отдел культуры, кино, молодежной политики, туризма и спорта администрации Новоузенского МР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Улучшение информационного обеспечения населения и молодежи.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8, 9</w:t>
            </w:r>
          </w:p>
        </w:tc>
      </w:tr>
      <w:tr>
        <w:trPr>
          <w:trHeight w:val="27" w:hRule="atLeast"/>
        </w:trPr>
        <w:tc>
          <w:tcPr>
            <w:tcW w:w="20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0"/>
              <w:ind w:hanging="0" w:left="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Задача 3</w:t>
            </w:r>
          </w:p>
        </w:tc>
        <w:tc>
          <w:tcPr>
            <w:tcW w:w="28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Вовлечение граждан   в здоровый образ жизни.</w:t>
            </w:r>
          </w:p>
        </w:tc>
        <w:tc>
          <w:tcPr>
            <w:tcW w:w="42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113" w:left="0" w:right="-113"/>
              <w:jc w:val="center"/>
              <w:rPr>
                <w:rFonts w:ascii="Liberation Serif" w:hAnsi="Liberation Serif" w:cs="Times New Roman"/>
                <w:color w:val="auto"/>
                <w:sz w:val="24"/>
                <w:szCs w:val="24"/>
                <w:shd w:fill="auto" w:val="clear"/>
                <w:lang w:val="ru-RU"/>
              </w:rPr>
            </w:pPr>
            <w:r>
              <w:rPr>
                <w:rFonts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>Отдел культуры, кино, молодежной политики, туризма и спорта администрации Новоузенского МР</w:t>
            </w:r>
          </w:p>
        </w:tc>
        <w:tc>
          <w:tcPr>
            <w:tcW w:w="35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Формирование эффективной системы профилактики правонарушений</w:t>
            </w:r>
          </w:p>
        </w:tc>
        <w:tc>
          <w:tcPr>
            <w:tcW w:w="14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10, 11</w:t>
            </w:r>
          </w:p>
        </w:tc>
      </w:tr>
    </w:tbl>
    <w:p>
      <w:pPr>
        <w:pStyle w:val="Normal"/>
        <w:ind w:hanging="0" w:left="3310" w:right="64"/>
        <w:rPr/>
      </w:pPr>
      <w:r>
        <w:rPr/>
      </w:r>
    </w:p>
    <w:p>
      <w:pPr>
        <w:pStyle w:val="Normal"/>
        <w:ind w:hanging="0" w:left="3310" w:right="64"/>
        <w:rPr/>
      </w:pPr>
      <w:r>
        <w:rPr/>
      </w:r>
    </w:p>
    <w:p>
      <w:pPr>
        <w:pStyle w:val="Normal"/>
        <w:ind w:hanging="0" w:left="3310" w:right="64"/>
        <w:rPr/>
      </w:pPr>
      <w:r>
        <w:rPr/>
        <w:t>4.</w:t>
      </w:r>
      <w:r>
        <w:rPr>
          <w:rFonts w:eastAsia="Arial" w:cs="Arial" w:ascii="Arial" w:hAnsi="Arial"/>
        </w:rPr>
        <w:t xml:space="preserve"> </w:t>
      </w:r>
      <w:r>
        <w:rPr/>
        <w:t xml:space="preserve">Финансовое обеспечение реализации муниципальной программы </w:t>
      </w:r>
    </w:p>
    <w:p>
      <w:pPr>
        <w:pStyle w:val="Normal"/>
        <w:spacing w:before="0" w:after="4"/>
        <w:ind w:hanging="10" w:left="10" w:right="81"/>
        <w:jc w:val="right"/>
        <w:rPr/>
      </w:pPr>
      <w:r>
        <w:rPr/>
        <w:t xml:space="preserve">Таблица 4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</w:r>
    </w:p>
    <w:tbl>
      <w:tblPr>
        <w:tblW w:w="15624" w:type="dxa"/>
        <w:jc w:val="left"/>
        <w:tblInd w:w="-12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15"/>
        <w:gridCol w:w="2655"/>
        <w:gridCol w:w="2729"/>
        <w:gridCol w:w="2100"/>
        <w:gridCol w:w="1470"/>
        <w:gridCol w:w="1020"/>
        <w:gridCol w:w="1311"/>
        <w:gridCol w:w="2158"/>
        <w:gridCol w:w="1264"/>
      </w:tblGrid>
      <w:tr>
        <w:trPr>
          <w:trHeight w:val="423" w:hRule="atLeast"/>
        </w:trPr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2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493" w:left="170" w:right="0"/>
              <w:jc w:val="left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Наименование программы, структурного элемента программы</w:t>
            </w:r>
          </w:p>
        </w:tc>
        <w:tc>
          <w:tcPr>
            <w:tcW w:w="2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05" w:left="356" w:right="36"/>
              <w:jc w:val="left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Ответственны й исполнитель, соисполнители</w:t>
            </w:r>
          </w:p>
        </w:tc>
        <w:tc>
          <w:tcPr>
            <w:tcW w:w="2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722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555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 xml:space="preserve">Расходы (тыс. руб.), годы </w:t>
            </w:r>
            <w:r>
              <w:rPr>
                <w:rFonts w:eastAsia="Arial" w:cs="Arial" w:ascii="Liberation Serif" w:hAnsi="Liberation Serif"/>
                <w:sz w:val="24"/>
                <w:szCs w:val="24"/>
                <w:vertAlign w:val="superscript"/>
              </w:rPr>
              <w:t>1</w:t>
            </w:r>
          </w:p>
        </w:tc>
      </w:tr>
      <w:tr>
        <w:trPr>
          <w:trHeight w:val="713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  <w:vertAlign w:val="superscript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  <w:vertAlign w:val="superscript"/>
              </w:rPr>
              <w:t>2026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53" w:right="62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2029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2030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113"/>
              <w:jc w:val="center"/>
              <w:rPr>
                <w:b w:val="false"/>
                <w:bCs w:val="false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b w:val="false"/>
                <w:bCs w:val="false"/>
                <w:sz w:val="24"/>
                <w:szCs w:val="24"/>
              </w:rPr>
              <w:t>Муниципальная программа “</w:t>
            </w:r>
            <w:r>
              <w:rPr>
                <w:rFonts w:eastAsia="Arial" w:cs="Times New Roman" w:ascii="Liberation Serif" w:hAnsi="Liberation Serif"/>
                <w:b w:val="false"/>
                <w:bCs w:val="false"/>
                <w:color w:val="auto"/>
                <w:sz w:val="24"/>
                <w:szCs w:val="24"/>
              </w:rPr>
              <w:t>Профилактика правонарушений и усиление борьбы с преступностью на территории Новоузенского района на 2026-2030 годы”</w:t>
            </w:r>
          </w:p>
        </w:tc>
        <w:tc>
          <w:tcPr>
            <w:tcW w:w="2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Всего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Иные источники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</w:r>
          </w:p>
        </w:tc>
      </w:tr>
      <w:tr>
        <w:trPr>
          <w:trHeight w:val="322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57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Ответственный</w:t>
            </w:r>
          </w:p>
          <w:p>
            <w:pPr>
              <w:pStyle w:val="Normal"/>
              <w:widowControl/>
              <w:bidi w:val="0"/>
              <w:spacing w:lineRule="auto" w:line="252" w:before="0" w:after="0"/>
              <w:ind w:hanging="0" w:left="57" w:right="57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исполнитель: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>
                <w:rFonts w:eastAsia="Arial" w:cs="Arial"/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Отдел культуры, кино, молодежной политики, спорта и туризма администрации Новоузенского муниципального района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195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194" w:hRule="atLeast"/>
        </w:trPr>
        <w:tc>
          <w:tcPr>
            <w:tcW w:w="91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Иные источники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86" w:hRule="atLeast"/>
        </w:trPr>
        <w:tc>
          <w:tcPr>
            <w:tcW w:w="9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6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Комплекс процессн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>ых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 xml:space="preserve"> мероприяти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>й</w:t>
            </w:r>
            <w:r>
              <w:rPr>
                <w:rFonts w:eastAsia="Arial" w:cs="Arial" w:ascii="Liberation Serif" w:hAnsi="Liberation Serif"/>
                <w:sz w:val="24"/>
                <w:szCs w:val="24"/>
              </w:rPr>
              <w:t xml:space="preserve">  ““Организация работы, направленной на профилактику правонарушений на     </w:t>
            </w:r>
          </w:p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color w:val="000000"/>
                <w:sz w:val="24"/>
                <w:szCs w:val="24"/>
                <w:shd w:fill="auto" w:val="clear"/>
                <w:lang w:val="ru-RU" w:eastAsia="ar-SA" w:bidi="ar-SA"/>
              </w:rPr>
              <w:t>территории Новоузенского муниципального района ”.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eastAsia="ar-SA" w:bidi="ar-SA"/>
              </w:rPr>
              <w:t>.</w:t>
            </w:r>
          </w:p>
        </w:tc>
        <w:tc>
          <w:tcPr>
            <w:tcW w:w="27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283" w:right="-57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Отдел культуры, кино, молодежной политики, спорта и туризма администрации Новоузенского муниципального района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Всего, в том числе:</w:t>
            </w:r>
          </w:p>
        </w:tc>
        <w:tc>
          <w:tcPr>
            <w:tcW w:w="1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86" w:hRule="atLeast"/>
        </w:trPr>
        <w:tc>
          <w:tcPr>
            <w:tcW w:w="91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86" w:hRule="atLeast"/>
        </w:trPr>
        <w:tc>
          <w:tcPr>
            <w:tcW w:w="91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86" w:hRule="atLeast"/>
        </w:trPr>
        <w:tc>
          <w:tcPr>
            <w:tcW w:w="91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5,0</w:t>
            </w:r>
          </w:p>
        </w:tc>
      </w:tr>
      <w:tr>
        <w:trPr>
          <w:trHeight w:val="86" w:hRule="atLeast"/>
        </w:trPr>
        <w:tc>
          <w:tcPr>
            <w:tcW w:w="91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655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72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1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83" w:right="0"/>
              <w:jc w:val="center"/>
              <w:rPr>
                <w:rFonts w:ascii="Liberation Serif" w:hAnsi="Liberation Serif" w:eastAsia="Arial" w:cs="Arial"/>
                <w:sz w:val="24"/>
                <w:szCs w:val="24"/>
              </w:rPr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Иные источники</w:t>
            </w:r>
          </w:p>
        </w:tc>
        <w:tc>
          <w:tcPr>
            <w:tcW w:w="14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3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1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2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rFonts w:eastAsia="Arial" w:cs="Arial" w:ascii="Liberation Serif" w:hAnsi="Liberation Serif"/>
                <w:sz w:val="24"/>
                <w:szCs w:val="24"/>
              </w:rPr>
              <w:t>0,0</w:t>
            </w:r>
          </w:p>
        </w:tc>
      </w:tr>
      <w:tr>
        <w:trPr/>
        <w:tc>
          <w:tcPr>
            <w:tcW w:w="15622" w:type="dxa"/>
            <w:gridSpan w:val="9"/>
            <w:tcBorders/>
          </w:tcPr>
          <w:p>
            <w:pPr>
              <w:pStyle w:val="Style9"/>
              <w:widowControl w:val="false"/>
              <w:suppressLineNumbers/>
              <w:bidi w:val="0"/>
              <w:spacing w:lineRule="auto" w:line="264" w:before="0" w:after="15"/>
              <w:ind w:hanging="0" w:left="-57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</w:r>
    </w:p>
    <w:p>
      <w:pPr>
        <w:pStyle w:val="Normal"/>
        <w:jc w:val="center"/>
        <w:rPr/>
      </w:pPr>
      <w:r>
        <w:rPr/>
        <w:t xml:space="preserve">                                     </w:t>
      </w:r>
      <w:r>
        <w:rPr/>
        <w:t xml:space="preserve">Паспорт комплекса процессных мероприятий </w:t>
      </w:r>
    </w:p>
    <w:p>
      <w:pPr>
        <w:pStyle w:val="Normal"/>
        <w:rPr/>
      </w:pPr>
      <w:r>
        <w:rPr/>
        <w:t xml:space="preserve">                       “</w:t>
      </w:r>
      <w:r>
        <w:rPr/>
        <w:t xml:space="preserve">Организация работы, направленной на профилактику правонарушений на     </w:t>
      </w:r>
    </w:p>
    <w:p>
      <w:pPr>
        <w:pStyle w:val="Normal"/>
        <w:rPr/>
      </w:pPr>
      <w:r>
        <w:rPr/>
        <w:t xml:space="preserve">                                              </w:t>
      </w:r>
      <w:r>
        <w:rPr/>
        <w:t>территории Новоузенского муниципального района ”.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numPr>
          <w:ilvl w:val="0"/>
          <w:numId w:val="2"/>
        </w:numPr>
        <w:spacing w:lineRule="auto" w:line="264" w:before="0" w:after="10"/>
        <w:ind w:hanging="281" w:left="985" w:right="774"/>
        <w:jc w:val="center"/>
        <w:rPr/>
      </w:pPr>
      <w:r>
        <w:rPr/>
        <w:t>Основные положения</w:t>
      </w:r>
    </w:p>
    <w:p>
      <w:pPr>
        <w:pStyle w:val="Normal"/>
        <w:spacing w:before="0" w:after="4"/>
        <w:ind w:hanging="10" w:left="10" w:right="81"/>
        <w:jc w:val="right"/>
        <w:rPr>
          <w:sz w:val="24"/>
        </w:rPr>
      </w:pPr>
      <w:r>
        <w:rPr/>
        <w:t>Таблица 1</w:t>
      </w:r>
    </w:p>
    <w:tbl>
      <w:tblPr>
        <w:tblW w:w="14600" w:type="dxa"/>
        <w:jc w:val="left"/>
        <w:tblInd w:w="-80" w:type="dxa"/>
        <w:tblLayout w:type="fixed"/>
        <w:tblCellMar>
          <w:top w:w="10" w:type="dxa"/>
          <w:left w:w="83" w:type="dxa"/>
          <w:bottom w:w="0" w:type="dxa"/>
          <w:right w:w="39" w:type="dxa"/>
        </w:tblCellMar>
      </w:tblPr>
      <w:tblGrid>
        <w:gridCol w:w="7367"/>
        <w:gridCol w:w="7232"/>
      </w:tblGrid>
      <w:tr>
        <w:trPr>
          <w:trHeight w:val="386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Ответственный исполнитель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37"/>
              <w:jc w:val="center"/>
              <w:rPr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Отдел культуры, кино, молодежной политики спорта и туризма администрации Новоузенского муниципального района</w:t>
            </w:r>
          </w:p>
        </w:tc>
      </w:tr>
      <w:tr>
        <w:trPr>
          <w:trHeight w:val="418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Соисполнитель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425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Участники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37"/>
              <w:jc w:val="center"/>
              <w:rPr>
                <w:sz w:val="24"/>
                <w:szCs w:val="24"/>
              </w:rPr>
            </w:pPr>
            <w:r>
              <w:rPr>
                <w:rFonts w:eastAsia="Arial" w:cs="Arial"/>
                <w:sz w:val="24"/>
                <w:szCs w:val="24"/>
              </w:rPr>
              <w:t>Отдел культуры, кино, молодежной политики спорта и туризма администрации Новоузенского муниципального района</w:t>
            </w:r>
          </w:p>
        </w:tc>
      </w:tr>
      <w:tr>
        <w:trPr>
          <w:trHeight w:val="418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Период реализации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 г.г.</w:t>
            </w:r>
          </w:p>
        </w:tc>
      </w:tr>
      <w:tr>
        <w:trPr>
          <w:trHeight w:val="422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Цель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color w:val="00000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С</w:t>
            </w: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нижение уровня преступности, укрепление законности и правопорядка на территории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Новоузенского</w:t>
            </w:r>
          </w:p>
          <w:p>
            <w:pPr>
              <w:pStyle w:val="Normal"/>
              <w:widowControl/>
              <w:suppressAutoHyphens w:val="false"/>
              <w:bidi w:val="0"/>
              <w:spacing w:lineRule="auto" w:line="252" w:before="0" w:after="0"/>
              <w:ind w:hanging="0" w:left="10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empora LGC Uni" w:ascii="Liberation Serif" w:hAnsi="Liberation Serif"/>
                <w:b w:val="false"/>
                <w:bCs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u w:val="none"/>
                <w:shd w:fill="auto" w:val="clear"/>
                <w:lang w:val="ru-RU" w:eastAsia="ru-RU" w:bidi="ar-SA"/>
              </w:rPr>
              <w:t>муниципального района</w:t>
            </w:r>
          </w:p>
        </w:tc>
      </w:tr>
      <w:tr>
        <w:trPr>
          <w:trHeight w:val="430" w:hRule="atLeast"/>
        </w:trPr>
        <w:tc>
          <w:tcPr>
            <w:tcW w:w="7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Финансовое обеспечение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г. -0,0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 г. – 0,0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г. – 5,0 тыс.руб.,</w:t>
            </w:r>
          </w:p>
          <w:p>
            <w:pPr>
              <w:pStyle w:val="Normal"/>
              <w:spacing w:lineRule="auto" w:line="252" w:before="0" w:after="0"/>
              <w:ind w:hanging="0" w:left="6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 г. – 5,0 тыс.руб.</w:t>
            </w:r>
          </w:p>
        </w:tc>
      </w:tr>
      <w:tr>
        <w:trPr>
          <w:trHeight w:val="430" w:hRule="atLeast"/>
        </w:trPr>
        <w:tc>
          <w:tcPr>
            <w:tcW w:w="7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28" w:before="0" w:after="61"/>
              <w:ind w:hanging="0" w:left="0" w:right="0"/>
              <w:rPr>
                <w:sz w:val="24"/>
              </w:rPr>
            </w:pPr>
            <w:r>
              <w:rPr>
                <w:sz w:val="24"/>
              </w:rPr>
              <w:t>Связь с муниципальной программой, государственной программой Саратовской области, государственной программой Российской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sz w:val="24"/>
              </w:rPr>
            </w:pPr>
            <w:r>
              <w:rPr>
                <w:sz w:val="24"/>
              </w:rPr>
              <w:t>Федерации</w:t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>
        <w:trPr>
          <w:trHeight w:val="435" w:hRule="atLeast"/>
        </w:trPr>
        <w:tc>
          <w:tcPr>
            <w:tcW w:w="7367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7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>
      <w:pPr>
        <w:pStyle w:val="Normal"/>
        <w:spacing w:lineRule="auto" w:line="252" w:before="0" w:after="67"/>
        <w:ind w:hanging="0" w:left="0" w:right="13"/>
        <w:jc w:val="center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64" w:before="0" w:after="10"/>
        <w:ind w:hanging="0" w:left="985" w:right="774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0" w:left="985" w:right="774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0" w:left="985" w:right="774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sz w:val="28"/>
          <w:szCs w:val="28"/>
        </w:rPr>
      </w:pPr>
      <w:r>
        <w:rPr>
          <w:sz w:val="28"/>
          <w:szCs w:val="28"/>
        </w:rPr>
        <w:t>2. Показатели комплекса процессных мероприятий</w:t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sz w:val="28"/>
          <w:szCs w:val="28"/>
        </w:rPr>
      </w:pPr>
      <w:r>
        <w:rPr/>
        <w:t xml:space="preserve">      “</w:t>
      </w:r>
      <w:r>
        <w:rPr/>
        <w:t xml:space="preserve">Организация работы, направленной на профилактику правонарушений на     </w:t>
      </w:r>
    </w:p>
    <w:p>
      <w:pPr>
        <w:pStyle w:val="Normal"/>
        <w:rPr/>
      </w:pPr>
      <w:r>
        <w:rPr/>
        <w:t xml:space="preserve">                                              </w:t>
      </w:r>
      <w:r>
        <w:rPr/>
        <w:t>территории Новоузенского муниципального района ”.</w:t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sz w:val="28"/>
          <w:szCs w:val="28"/>
        </w:rPr>
      </w:pPr>
      <w:r>
        <w:rPr/>
        <w:t xml:space="preserve"> </w:t>
      </w:r>
    </w:p>
    <w:p>
      <w:pPr>
        <w:pStyle w:val="Normal"/>
        <w:spacing w:before="0" w:after="4"/>
        <w:ind w:hanging="10" w:left="10" w:right="81"/>
        <w:jc w:val="right"/>
        <w:rPr>
          <w:sz w:val="20"/>
        </w:rPr>
      </w:pPr>
      <w:r>
        <w:rPr/>
        <w:t>Таблица 2</w:t>
      </w:r>
    </w:p>
    <w:tbl>
      <w:tblPr>
        <w:tblW w:w="14520" w:type="dxa"/>
        <w:jc w:val="left"/>
        <w:tblInd w:w="75" w:type="dxa"/>
        <w:tblLayout w:type="fixed"/>
        <w:tblCellMar>
          <w:top w:w="60" w:type="dxa"/>
          <w:left w:w="3" w:type="dxa"/>
          <w:bottom w:w="0" w:type="dxa"/>
          <w:right w:w="3" w:type="dxa"/>
        </w:tblCellMar>
      </w:tblPr>
      <w:tblGrid>
        <w:gridCol w:w="480"/>
        <w:gridCol w:w="1709"/>
        <w:gridCol w:w="1410"/>
        <w:gridCol w:w="1275"/>
        <w:gridCol w:w="1845"/>
        <w:gridCol w:w="1140"/>
        <w:gridCol w:w="1125"/>
        <w:gridCol w:w="721"/>
        <w:gridCol w:w="704"/>
        <w:gridCol w:w="1276"/>
        <w:gridCol w:w="1275"/>
        <w:gridCol w:w="1559"/>
      </w:tblGrid>
      <w:tr>
        <w:trPr>
          <w:trHeight w:val="494" w:hRule="atLeast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29" w:left="109" w:righ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№  </w:t>
            </w:r>
            <w:r>
              <w:rPr>
                <w:sz w:val="20"/>
              </w:rPr>
              <w:t>п/п</w:t>
            </w:r>
          </w:p>
        </w:tc>
        <w:tc>
          <w:tcPr>
            <w:tcW w:w="17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 xml:space="preserve">Наименование показателя 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/>
            </w:pPr>
            <w:r>
              <w:rPr>
                <w:sz w:val="20"/>
              </w:rPr>
              <w:t xml:space="preserve">Уровень показателя </w:t>
            </w:r>
            <w:r>
              <w:rPr>
                <w:rStyle w:val="FootnoteReference"/>
                <w:sz w:val="20"/>
                <w:vertAlign w:val="superscript"/>
              </w:rPr>
              <w:footnoteReference w:id="2"/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16"/>
              <w:ind w:firstLine="184" w:left="16" w:right="0"/>
              <w:jc w:val="left"/>
              <w:rPr>
                <w:sz w:val="20"/>
              </w:rPr>
            </w:pPr>
            <w:r>
              <w:rPr>
                <w:sz w:val="20"/>
              </w:rPr>
              <w:t>Единица измерения (по</w:t>
            </w:r>
          </w:p>
          <w:p>
            <w:pPr>
              <w:pStyle w:val="Normal"/>
              <w:spacing w:lineRule="auto" w:line="252" w:before="0" w:after="0"/>
              <w:ind w:hanging="0" w:left="0" w:right="10"/>
              <w:jc w:val="center"/>
              <w:rPr/>
            </w:pPr>
            <w:r>
              <w:rPr>
                <w:sz w:val="20"/>
              </w:rPr>
              <w:t xml:space="preserve">ОКЕИ </w:t>
            </w:r>
            <w:r>
              <w:rPr>
                <w:rStyle w:val="FootnoteReference"/>
                <w:sz w:val="20"/>
                <w:vertAlign w:val="superscript"/>
              </w:rPr>
              <w:footnoteReference w:id="3"/>
            </w:r>
            <w:r>
              <w:rPr>
                <w:sz w:val="20"/>
              </w:rPr>
              <w:t>)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125" w:right="0"/>
              <w:jc w:val="left"/>
              <w:rPr/>
            </w:pPr>
            <w:r>
              <w:rPr>
                <w:sz w:val="20"/>
              </w:rPr>
              <w:t>Базовое значение</w:t>
            </w:r>
            <w:r>
              <w:rPr>
                <w:rStyle w:val="FootnoteReference"/>
                <w:sz w:val="20"/>
                <w:vertAlign w:val="superscript"/>
              </w:rPr>
              <w:footnoteReference w:id="4"/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/>
            </w:pPr>
            <w:r>
              <w:rPr/>
            </w:r>
          </w:p>
        </w:tc>
        <w:tc>
          <w:tcPr>
            <w:tcW w:w="3826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46" w:right="0"/>
              <w:jc w:val="left"/>
              <w:rPr>
                <w:sz w:val="20"/>
              </w:rPr>
            </w:pPr>
            <w:r>
              <w:rPr>
                <w:sz w:val="20"/>
              </w:rPr>
              <w:t>Значения показателя по годам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3"/>
              <w:ind w:hanging="0" w:left="4" w:right="0"/>
              <w:jc w:val="center"/>
              <w:rPr>
                <w:sz w:val="20"/>
              </w:rPr>
            </w:pPr>
            <w:r>
              <w:rPr>
                <w:sz w:val="20"/>
              </w:rPr>
              <w:t>Признак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возрастания/убывания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40" w:before="0" w:after="28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Информационная система</w:t>
            </w:r>
          </w:p>
          <w:p>
            <w:pPr>
              <w:pStyle w:val="Normal"/>
              <w:spacing w:lineRule="auto" w:line="252" w:before="0" w:after="0"/>
              <w:ind w:hanging="0" w:left="-7" w:right="0"/>
              <w:jc w:val="center"/>
              <w:rPr>
                <w:sz w:val="20"/>
              </w:rPr>
            </w:pPr>
            <w:r>
              <w:rPr>
                <w:sz w:val="20"/>
              </w:rPr>
              <w:t>(при наличии)</w:t>
            </w:r>
          </w:p>
        </w:tc>
      </w:tr>
      <w:tr>
        <w:trPr>
          <w:trHeight w:val="1143" w:hRule="atLeast"/>
        </w:trPr>
        <w:tc>
          <w:tcPr>
            <w:tcW w:w="48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70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4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27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firstLine="39" w:left="0" w:right="0"/>
              <w:jc w:val="center"/>
              <w:rPr>
                <w:sz w:val="20"/>
              </w:rPr>
            </w:pPr>
            <w:r>
              <w:rPr>
                <w:sz w:val="20"/>
                <w:vertAlign w:val="superscript"/>
              </w:rPr>
              <w:t>2025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40" w:before="0" w:after="22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8" w:right="0"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bidi w:val="0"/>
              <w:spacing w:lineRule="auto" w:line="252" w:before="0" w:after="0"/>
              <w:ind w:hanging="0" w:left="0" w:right="0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127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5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</w:tr>
      <w:tr>
        <w:trPr>
          <w:trHeight w:val="485" w:hRule="atLeast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03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0" w:right="4094"/>
              <w:jc w:val="both"/>
              <w:rPr>
                <w:rFonts w:ascii="Liberation Serif" w:hAnsi="Liberation Serif" w:eastAsia="sans-serif" w:cs="Times New Roman"/>
                <w:b w:val="false"/>
                <w:i w:val="false"/>
                <w:i w:val="false"/>
                <w:caps w:val="false"/>
                <w:smallCaps w:val="false"/>
                <w:color w:val="111111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111111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Задача 1. Снижение уровня преступности на территории района.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организованных и проведенных профилактических мероприятий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мероприятий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безработных, принявших участие в беседах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лиц, освободившихся из мест лишения свободы, охваченных деятельностью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организованных и проведенных рейдовых мероприятий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мероприятий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лиц, которым предоставлена услуга по вхождению личности  в новую социальную среду.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организованных и проведенных Единых дней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 мероприятий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60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/>
            </w:pPr>
            <w:r>
              <w:rPr>
                <w:sz w:val="24"/>
                <w:szCs w:val="24"/>
              </w:rPr>
              <w:t>Количество трудоустроенных граждан на заявленные вакансиии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человек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432" w:hRule="atLeast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3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0" w:after="15"/>
              <w:ind w:hanging="0" w:left="-36" w:right="-108"/>
              <w:jc w:val="left"/>
              <w:rPr>
                <w:sz w:val="24"/>
                <w:szCs w:val="24"/>
              </w:rPr>
            </w:pPr>
            <w:r>
              <w:rPr>
                <w:rFonts w:eastAsia="sans-serif" w:cs="Times New Roman" w:ascii="Liberation Serif" w:hAnsi="Liberation Serif"/>
                <w:color w:val="000000"/>
                <w:kern w:val="0"/>
                <w:sz w:val="24"/>
                <w:szCs w:val="24"/>
                <w:lang w:val="ru-RU" w:eastAsia="zh-CN" w:bidi="ar-SA"/>
              </w:rPr>
              <w:t xml:space="preserve"> </w:t>
            </w: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Задача 2.  Укрепление правопорядка.</w:t>
            </w:r>
          </w:p>
        </w:tc>
      </w:tr>
      <w:tr>
        <w:trPr>
          <w:trHeight w:val="145" w:hRule="atLeast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Количество распространенной наглядной агитации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штук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145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00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color w:val="auto"/>
              </w:rPr>
            </w:pPr>
            <w:r>
              <w:rPr>
                <w:color w:val="auto"/>
                <w:sz w:val="24"/>
              </w:rPr>
              <w:t>Количество опубликованных статей, направленных на недопущение совершения  преступлений и правонарушений, профилактику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 во штук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145" w:hRule="atLeast"/>
        </w:trPr>
        <w:tc>
          <w:tcPr>
            <w:tcW w:w="14519" w:type="dxa"/>
            <w:gridSpan w:val="1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0" w:right="409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 xml:space="preserve">Задача 3. Вовлечение граждан  </w:t>
            </w: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34343C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 xml:space="preserve"> в здоровый образ жизни.</w:t>
            </w:r>
          </w:p>
        </w:tc>
      </w:tr>
      <w:tr>
        <w:trPr>
          <w:trHeight w:val="1130" w:hRule="atLeast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  молодежи, охваченной досуговыми мероприятиями.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человек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3971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3972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3973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3975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  <w:tr>
        <w:trPr>
          <w:trHeight w:val="138" w:hRule="atLeast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2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17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  проведенных спортивных мероприятий, направленных на здоровый  образ жизни</w:t>
            </w:r>
          </w:p>
        </w:tc>
        <w:tc>
          <w:tcPr>
            <w:tcW w:w="14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18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Возрастание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Бумажный носитель</w:t>
            </w:r>
          </w:p>
        </w:tc>
      </w:tr>
    </w:tbl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64" w:before="0" w:after="10"/>
        <w:ind w:hanging="10" w:left="714" w:right="773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64" w:before="0" w:after="10"/>
        <w:ind w:hanging="10" w:left="714" w:right="773"/>
        <w:jc w:val="center"/>
        <w:rPr>
          <w:shd w:fill="auto" w:val="clear"/>
        </w:rPr>
      </w:pPr>
      <w:r>
        <w:rPr>
          <w:rFonts w:ascii="Liberation Serif" w:hAnsi="Liberation Serif"/>
          <w:sz w:val="24"/>
          <w:szCs w:val="24"/>
          <w:shd w:fill="auto" w:val="clear"/>
        </w:rPr>
        <w:t xml:space="preserve">3. Мероприятия комплекса процессных мероприятий </w:t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“</w:t>
      </w:r>
      <w:r>
        <w:rPr>
          <w:rFonts w:ascii="Liberation Serif" w:hAnsi="Liberation Serif"/>
          <w:sz w:val="24"/>
          <w:szCs w:val="24"/>
        </w:rPr>
        <w:t xml:space="preserve">Организация работы, направленной на профилактику правонарушений на     </w:t>
      </w:r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</w:t>
      </w:r>
      <w:r>
        <w:rPr>
          <w:rFonts w:ascii="Liberation Serif" w:hAnsi="Liberation Serif"/>
          <w:sz w:val="24"/>
          <w:szCs w:val="24"/>
        </w:rPr>
        <w:t>территории Новоузенского муниципального района ”.</w:t>
      </w:r>
    </w:p>
    <w:p>
      <w:pPr>
        <w:pStyle w:val="Normal"/>
        <w:spacing w:before="0" w:after="4"/>
        <w:ind w:hanging="10" w:left="10" w:right="81"/>
        <w:jc w:val="righ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Таблица 3</w:t>
      </w:r>
    </w:p>
    <w:tbl>
      <w:tblPr>
        <w:tblW w:w="14600" w:type="dxa"/>
        <w:jc w:val="left"/>
        <w:tblInd w:w="-11" w:type="dxa"/>
        <w:tblLayout w:type="fixed"/>
        <w:tblCellMar>
          <w:top w:w="10" w:type="dxa"/>
          <w:left w:w="14" w:type="dxa"/>
          <w:bottom w:w="0" w:type="dxa"/>
          <w:right w:w="36" w:type="dxa"/>
        </w:tblCellMar>
      </w:tblPr>
      <w:tblGrid>
        <w:gridCol w:w="578"/>
        <w:gridCol w:w="1826"/>
        <w:gridCol w:w="1653"/>
        <w:gridCol w:w="2279"/>
        <w:gridCol w:w="1060"/>
        <w:gridCol w:w="1064"/>
        <w:gridCol w:w="568"/>
        <w:gridCol w:w="572"/>
        <w:gridCol w:w="1479"/>
        <w:gridCol w:w="1874"/>
        <w:gridCol w:w="1645"/>
      </w:tblGrid>
      <w:tr>
        <w:trPr>
          <w:trHeight w:val="240" w:hRule="atLeast"/>
        </w:trPr>
        <w:tc>
          <w:tcPr>
            <w:tcW w:w="5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12"/>
              <w:ind w:hanging="0" w:left="12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18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28" w:before="0" w:after="31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Единица измерения</w:t>
            </w:r>
          </w:p>
          <w:p>
            <w:pPr>
              <w:pStyle w:val="Normal"/>
              <w:spacing w:lineRule="auto" w:line="252" w:before="0" w:after="0"/>
              <w:ind w:hanging="0" w:left="137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(по ОКЕИ </w:t>
            </w: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>1</w:t>
            </w:r>
            <w:r>
              <w:rPr>
                <w:rFonts w:ascii="Liberation Serif" w:hAnsi="Liberation Serif"/>
                <w:sz w:val="24"/>
                <w:szCs w:val="24"/>
              </w:rPr>
              <w:t>)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Базовое значение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pacing w:lineRule="auto" w:line="252" w:before="0" w:after="123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3683" w:type="dxa"/>
            <w:gridSpan w:val="4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Характеристика мероприятия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28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Связь с показателями</w:t>
            </w:r>
          </w:p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структурного элемента</w:t>
            </w:r>
          </w:p>
        </w:tc>
      </w:tr>
      <w:tr>
        <w:trPr>
          <w:trHeight w:val="876" w:hRule="atLeast"/>
        </w:trPr>
        <w:tc>
          <w:tcPr>
            <w:tcW w:w="57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826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65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>2025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5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5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2029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firstLine="23" w:left="46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2030</w:t>
            </w:r>
          </w:p>
        </w:tc>
        <w:tc>
          <w:tcPr>
            <w:tcW w:w="187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64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</w:tr>
      <w:tr>
        <w:trPr>
          <w:trHeight w:val="286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402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0" w:right="4094"/>
              <w:jc w:val="both"/>
              <w:rPr>
                <w:rFonts w:ascii="Liberation Serif" w:hAnsi="Liberation Serif" w:eastAsia="sans-serif" w:cs="Times New Roman"/>
                <w:b w:val="false"/>
                <w:i w:val="false"/>
                <w:i w:val="false"/>
                <w:caps w:val="false"/>
                <w:smallCaps w:val="false"/>
                <w:color w:val="auto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</w:pP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Задача 1. Снижение уровня преступности на территории района.</w:t>
            </w:r>
          </w:p>
        </w:tc>
      </w:tr>
      <w:tr>
        <w:trPr>
          <w:trHeight w:val="40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Проведена просветительская компания  в образовательных учреждениях и среди социально уязвимых групп населения, направленная на профилактику мошенничества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 мероприятий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12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14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15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16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организованных и проведенных профилактических мероприятий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</w:r>
          </w:p>
        </w:tc>
      </w:tr>
      <w:tr>
        <w:trPr>
          <w:trHeight w:val="4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Проведены бесед  с безработными гражданами по профилактике правонарушений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человек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безработных, принявших участие в беседах</w:t>
            </w:r>
          </w:p>
        </w:tc>
      </w:tr>
      <w:tr>
        <w:trPr>
          <w:trHeight w:val="4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1.3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Оказаны помощь в социальной адаптации лиц, освободившихся из мест лишения свободы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человек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0" w:after="15"/>
              <w:ind w:firstLine="710" w:left="-140" w:right="-10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 xml:space="preserve">Формирование у </w:t>
            </w:r>
            <w:r>
              <w:rPr>
                <w:rFonts w:ascii="Liberation Serif" w:hAnsi="Liberation Serif"/>
                <w:b w:val="false"/>
                <w:bCs w:val="false"/>
                <w:color w:val="000000"/>
                <w:sz w:val="24"/>
                <w:szCs w:val="24"/>
                <w:shd w:fill="auto" w:val="clear"/>
                <w:lang w:val="ru-RU"/>
              </w:rPr>
              <w:t>осужденных способност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>и и готовности к жизни в обычных условиях общества.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лиц, освободившихся из мест лишения свободы, охваченных деятельностью</w:t>
            </w:r>
          </w:p>
        </w:tc>
      </w:tr>
      <w:tr>
        <w:trPr>
          <w:trHeight w:val="4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1.4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Проведены совместно с КДНиЗП, ПДН, УУП МО МВД России «Новоузенский» профилактические операция «Территория закона», «Условник», «Розыск», «Осужденный и наркотик», «Мак», «Исправление трудом», «Толерантность»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мероприятий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организованных и проведенных рейдовых мероприятий</w:t>
            </w:r>
          </w:p>
        </w:tc>
      </w:tr>
      <w:tr>
        <w:trPr>
          <w:trHeight w:val="4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1.5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0" w:after="15"/>
              <w:ind w:hanging="0" w:left="-108" w:right="-108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Оказана помощь в ресоциализации осужденных, проживающих на территории Новоузенского муниципального района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человек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before="0" w:after="15"/>
              <w:ind w:firstLine="710" w:left="-140" w:right="-10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 xml:space="preserve">Формирование у </w:t>
            </w:r>
            <w:r>
              <w:rPr>
                <w:rFonts w:ascii="Liberation Serif" w:hAnsi="Liberation Serif"/>
                <w:b w:val="false"/>
                <w:bCs w:val="false"/>
                <w:color w:val="000000"/>
                <w:sz w:val="24"/>
                <w:szCs w:val="24"/>
                <w:shd w:fill="auto" w:val="clear"/>
                <w:lang w:val="ru-RU"/>
              </w:rPr>
              <w:t>осужденных способност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>и и готовности к жизни в обычных условиях общества.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лиц, которым предоставлена услуга по вхождению личности  в новую социальную среду.</w:t>
            </w:r>
          </w:p>
        </w:tc>
      </w:tr>
      <w:tr>
        <w:trPr>
          <w:trHeight w:val="2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1.6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Организованы и проведены Единые дни профилактики правонарушений  несовершенннолетних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 мероприятий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организованных и проведенных Единых дней</w:t>
            </w:r>
          </w:p>
        </w:tc>
      </w:tr>
      <w:tr>
        <w:trPr>
          <w:trHeight w:val="10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/>
            </w:pPr>
            <w:r>
              <w:rPr/>
              <w:t>1.7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Заявленно вакансий для трудоустройства граждан, испытывающих трудности в поиске работы (в том числе из мест лишения свободы).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человек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Недопущение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увеличения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количества</w:t>
            </w:r>
          </w:p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преступлений.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трудоустроенных граждан на заявленные вакансиии</w:t>
            </w:r>
          </w:p>
        </w:tc>
      </w:tr>
      <w:tr>
        <w:trPr>
          <w:trHeight w:val="10" w:hRule="atLeast"/>
        </w:trPr>
        <w:tc>
          <w:tcPr>
            <w:tcW w:w="14598" w:type="dxa"/>
            <w:gridSpan w:val="11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Задача 2. Укрепление правопорядка.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tabs>
                <w:tab w:val="clear" w:pos="720"/>
                <w:tab w:val="left" w:pos="440" w:leader="none"/>
              </w:tabs>
              <w:spacing w:lineRule="auto" w:line="240" w:before="0" w:after="0"/>
              <w:ind w:firstLine="710" w:left="-44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  <w:lang w:val="ru-RU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>Приобретены и</w:t>
            </w:r>
          </w:p>
          <w:p>
            <w:pPr>
              <w:pStyle w:val="Normal"/>
              <w:tabs>
                <w:tab w:val="clear" w:pos="720"/>
                <w:tab w:val="left" w:pos="440" w:leader="none"/>
              </w:tabs>
              <w:spacing w:lineRule="auto" w:line="240" w:before="0" w:after="0"/>
              <w:ind w:firstLine="710" w:left="-44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  <w:lang w:val="ru-RU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 xml:space="preserve">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>распространены</w:t>
            </w:r>
          </w:p>
          <w:p>
            <w:pPr>
              <w:pStyle w:val="Normal"/>
              <w:tabs>
                <w:tab w:val="clear" w:pos="720"/>
                <w:tab w:val="left" w:pos="440" w:leader="none"/>
              </w:tabs>
              <w:spacing w:lineRule="auto" w:line="240" w:before="0" w:after="0"/>
              <w:ind w:firstLine="710" w:left="-440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  <w:lang w:val="ru-RU"/>
              </w:rPr>
              <w:t xml:space="preserve"> </w:t>
            </w: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eastAsia="ar-SA" w:bidi="ar-SA"/>
              </w:rPr>
              <w:t>баннеры,</w:t>
            </w:r>
          </w:p>
          <w:p>
            <w:pPr>
              <w:pStyle w:val="Normal"/>
              <w:tabs>
                <w:tab w:val="clear" w:pos="720"/>
                <w:tab w:val="left" w:pos="440" w:leader="none"/>
              </w:tabs>
              <w:spacing w:lineRule="auto" w:line="240" w:before="0" w:after="0"/>
              <w:ind w:firstLine="710" w:left="-440" w:right="0"/>
              <w:jc w:val="center"/>
              <w:rPr>
                <w:rFonts w:ascii="Liberation Serif" w:hAnsi="Liberation Serif" w:eastAsia="Times New Roman" w:cs="Times New Roman"/>
                <w:color w:val="auto"/>
                <w:sz w:val="24"/>
                <w:szCs w:val="24"/>
                <w:shd w:fill="auto" w:val="clear"/>
                <w:lang w:val="ru-RU" w:eastAsia="ar-SA" w:bidi="ar-SA"/>
              </w:rPr>
            </w:pPr>
            <w:r>
              <w:rPr>
                <w:rFonts w:eastAsia="Times New Roman" w:cs="Times New Roman" w:ascii="Liberation Serif" w:hAnsi="Liberation Serif"/>
                <w:color w:val="000000"/>
                <w:sz w:val="24"/>
                <w:szCs w:val="24"/>
                <w:shd w:fill="auto" w:val="clear"/>
                <w:lang w:val="ru-RU" w:eastAsia="ar-SA" w:bidi="ar-SA"/>
              </w:rPr>
              <w:t>буклеты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Кол-во штук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70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70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75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80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85</w:t>
            </w:r>
          </w:p>
        </w:tc>
        <w:tc>
          <w:tcPr>
            <w:tcW w:w="1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90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Улучшение информационного обеспечения населения и молодежи.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Количество распространенной наглядной агитации.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Опублиованы статьи в районной газете, на официальных аккаунтах  в сети Интернет, направленные на профилактику правонарушений,  в том числе среди несовершеннолетних.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Кол- во штук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4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4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5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6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8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left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Улучшение информационного обеспечения населения и молодежи.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опубликованных статей, направленных на недопущение совершения  преступлений и правонарушений, профилактику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4020" w:type="dxa"/>
            <w:gridSpan w:val="10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0" w:right="4094"/>
              <w:jc w:val="both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eastAsia="sans-serif" w:cs="Times New Roman" w:ascii="Liberation Serif" w:hAnsi="Liberation 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24"/>
                <w:szCs w:val="24"/>
                <w:shd w:fill="auto" w:val="clear"/>
                <w:lang w:val="ru-RU" w:eastAsia="zh-CN" w:bidi="ar-SA"/>
              </w:rPr>
              <w:t>Задача 3. Вовлечение граждан   в здоровый образ жизни.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Организованны и проведены культурно-массовые мероприятия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человек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3971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3971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3972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3975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Формирование эффективной системы профилактики правонарушений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  молодежи, охваченной досуговыми мероприятиями.</w:t>
            </w:r>
          </w:p>
        </w:tc>
      </w:tr>
      <w:tr>
        <w:trPr>
          <w:trHeight w:val="57" w:hRule="atLeast"/>
        </w:trPr>
        <w:tc>
          <w:tcPr>
            <w:tcW w:w="5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8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</w:t>
            </w:r>
          </w:p>
        </w:tc>
        <w:tc>
          <w:tcPr>
            <w:tcW w:w="1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2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Организованныи проведены спортивные мероприятия</w:t>
            </w:r>
          </w:p>
        </w:tc>
        <w:tc>
          <w:tcPr>
            <w:tcW w:w="16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3" w:right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Количество мероприятий</w:t>
            </w:r>
          </w:p>
        </w:tc>
        <w:tc>
          <w:tcPr>
            <w:tcW w:w="22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0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10</w:t>
            </w:r>
          </w:p>
        </w:tc>
        <w:tc>
          <w:tcPr>
            <w:tcW w:w="106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10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71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11</w:t>
            </w:r>
          </w:p>
        </w:tc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12</w:t>
            </w:r>
          </w:p>
        </w:tc>
        <w:tc>
          <w:tcPr>
            <w:tcW w:w="5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13</w:t>
            </w:r>
          </w:p>
        </w:tc>
        <w:tc>
          <w:tcPr>
            <w:tcW w:w="147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66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14</w:t>
            </w:r>
          </w:p>
        </w:tc>
        <w:tc>
          <w:tcPr>
            <w:tcW w:w="1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Формирование эффективной системы профилактики правонарушений</w:t>
            </w:r>
          </w:p>
        </w:tc>
        <w:tc>
          <w:tcPr>
            <w:tcW w:w="164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84" w:right="0"/>
              <w:jc w:val="center"/>
              <w:rPr>
                <w:rFonts w:ascii="Liberation Serif" w:hAnsi="Liberation Serif"/>
                <w:color w:val="auto"/>
                <w:sz w:val="24"/>
                <w:szCs w:val="24"/>
              </w:rPr>
            </w:pPr>
            <w:r>
              <w:rPr>
                <w:rFonts w:ascii="Liberation Serif" w:hAnsi="Liberation Serif"/>
                <w:color w:val="auto"/>
                <w:sz w:val="24"/>
                <w:szCs w:val="24"/>
              </w:rPr>
              <w:t>Количество   проведенных спортивных мероприятий, направленных на здоровый  образ жизни</w:t>
            </w:r>
          </w:p>
        </w:tc>
      </w:tr>
    </w:tbl>
    <w:p>
      <w:pPr>
        <w:pStyle w:val="Normal"/>
        <w:ind w:hanging="0" w:left="708" w:right="64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before="0" w:after="4"/>
        <w:ind w:hanging="10" w:left="10" w:right="81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Финансовое обеспечение комплекса процессных мероприятий</w:t>
      </w:r>
      <w:r>
        <w:rPr>
          <w:rFonts w:ascii="Liberation Serif" w:hAnsi="Liberation Serif"/>
          <w:sz w:val="28"/>
          <w:szCs w:val="28"/>
          <w:shd w:fill="auto" w:val="clear"/>
        </w:rPr>
        <w:t xml:space="preserve"> комплекса </w:t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4"/>
          <w:szCs w:val="24"/>
        </w:rPr>
        <w:t>“</w:t>
      </w:r>
      <w:r>
        <w:rPr>
          <w:rFonts w:ascii="Liberation Serif" w:hAnsi="Liberation Serif"/>
          <w:sz w:val="24"/>
          <w:szCs w:val="24"/>
        </w:rPr>
        <w:t xml:space="preserve">Организация работы, направленной на профилактику правонарушений на     </w:t>
      </w:r>
    </w:p>
    <w:p>
      <w:pPr>
        <w:pStyle w:val="Normal"/>
        <w:spacing w:lineRule="auto" w:line="264" w:before="0" w:after="10"/>
        <w:ind w:hanging="0" w:left="985" w:right="774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</w:t>
      </w:r>
      <w:r>
        <w:rPr>
          <w:rFonts w:ascii="Liberation Serif" w:hAnsi="Liberation Serif"/>
          <w:sz w:val="24"/>
          <w:szCs w:val="24"/>
        </w:rPr>
        <w:t>территории Новоузенского муниципального района ”.</w:t>
      </w:r>
    </w:p>
    <w:p>
      <w:pPr>
        <w:pStyle w:val="Normal"/>
        <w:spacing w:before="0" w:after="4"/>
        <w:ind w:hanging="10" w:left="10" w:right="81"/>
        <w:jc w:val="right"/>
        <w:rPr>
          <w:sz w:val="24"/>
        </w:rPr>
      </w:pPr>
      <w:r>
        <w:rPr>
          <w:sz w:val="24"/>
        </w:rPr>
      </w:r>
    </w:p>
    <w:p>
      <w:pPr>
        <w:pStyle w:val="Normal"/>
        <w:spacing w:before="0" w:after="4"/>
        <w:ind w:hanging="10" w:left="10" w:right="81"/>
        <w:jc w:val="right"/>
        <w:rPr>
          <w:sz w:val="24"/>
        </w:rPr>
      </w:pPr>
      <w:r>
        <w:rPr/>
        <w:t>Таблица 4</w:t>
      </w:r>
    </w:p>
    <w:tbl>
      <w:tblPr>
        <w:tblW w:w="14600" w:type="dxa"/>
        <w:jc w:val="left"/>
        <w:tblInd w:w="-80" w:type="dxa"/>
        <w:tblLayout w:type="fixed"/>
        <w:tblCellMar>
          <w:top w:w="10" w:type="dxa"/>
          <w:left w:w="83" w:type="dxa"/>
          <w:bottom w:w="0" w:type="dxa"/>
          <w:right w:w="88" w:type="dxa"/>
        </w:tblCellMar>
      </w:tblPr>
      <w:tblGrid>
        <w:gridCol w:w="1073"/>
        <w:gridCol w:w="5444"/>
        <w:gridCol w:w="1562"/>
        <w:gridCol w:w="1559"/>
        <w:gridCol w:w="1003"/>
        <w:gridCol w:w="984"/>
        <w:gridCol w:w="1859"/>
        <w:gridCol w:w="1114"/>
      </w:tblGrid>
      <w:tr>
        <w:trPr>
          <w:trHeight w:val="286" w:hRule="atLeast"/>
        </w:trPr>
        <w:tc>
          <w:tcPr>
            <w:tcW w:w="10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5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№ </w:t>
            </w:r>
            <w:r>
              <w:rPr>
                <w:rFonts w:ascii="Liberation Serif" w:hAnsi="Liberation Serif"/>
                <w:sz w:val="24"/>
                <w:szCs w:val="24"/>
              </w:rPr>
              <w:t>п/п</w:t>
            </w:r>
          </w:p>
        </w:tc>
        <w:tc>
          <w:tcPr>
            <w:tcW w:w="54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7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6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Финансовое обеспечение по годам реализации, тыс. руб.</w:t>
            </w:r>
          </w:p>
        </w:tc>
        <w:tc>
          <w:tcPr>
            <w:tcW w:w="11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Всего</w:t>
            </w:r>
          </w:p>
        </w:tc>
      </w:tr>
      <w:tr>
        <w:trPr>
          <w:trHeight w:val="470" w:hRule="atLeast"/>
        </w:trPr>
        <w:tc>
          <w:tcPr>
            <w:tcW w:w="1073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544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</w:rPr>
              <w:t>2026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2027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6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2028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spacing w:lineRule="auto" w:line="252" w:before="0" w:after="0"/>
              <w:ind w:hanging="0" w:left="4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2029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2030</w:t>
            </w:r>
          </w:p>
        </w:tc>
        <w:tc>
          <w:tcPr>
            <w:tcW w:w="111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firstLine="710" w:left="0" w:right="4094"/>
              <w:jc w:val="both"/>
              <w:rPr/>
            </w:pPr>
            <w:r>
              <w:rPr/>
            </w:r>
          </w:p>
        </w:tc>
      </w:tr>
      <w:tr>
        <w:trPr>
          <w:trHeight w:val="307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35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uppressAutoHyphens w:val="false"/>
              <w:bidi w:val="0"/>
              <w:spacing w:lineRule="auto" w:line="264" w:before="0" w:after="15"/>
              <w:ind w:hanging="0" w:left="0" w:right="4094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 xml:space="preserve">Задача 2. 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  <w:lang w:val="ru-RU"/>
              </w:rPr>
              <w:t xml:space="preserve"> У</w:t>
            </w: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крепление правопорядка.</w:t>
            </w:r>
          </w:p>
        </w:tc>
      </w:tr>
      <w:tr>
        <w:trPr>
          <w:trHeight w:val="374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1352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Мероприятие 1 : «Приобретены и  распространены  баннеры, буклеты».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1.1.1.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Всего предусмотрено в местном бюджете, из них: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10,0</w:t>
            </w:r>
          </w:p>
        </w:tc>
      </w:tr>
      <w:tr>
        <w:trPr>
          <w:trHeight w:val="288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Федеральный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Областной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Местный бюджет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0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10,0</w:t>
            </w:r>
          </w:p>
        </w:tc>
      </w:tr>
      <w:tr>
        <w:trPr>
          <w:trHeight w:val="286" w:hRule="atLeast"/>
        </w:trPr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1" w:right="0"/>
              <w:jc w:val="lef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Иные источники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1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49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5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11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pacing w:lineRule="auto" w:line="252" w:before="0" w:after="0"/>
              <w:ind w:hanging="0" w:left="53" w:right="0"/>
              <w:jc w:val="center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0,0</w:t>
            </w:r>
          </w:p>
        </w:tc>
      </w:tr>
    </w:tbl>
    <w:p>
      <w:pPr>
        <w:pStyle w:val="Normal"/>
        <w:ind w:hanging="0" w:left="708" w:right="9642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ind w:hanging="0" w:left="708" w:right="64"/>
        <w:rPr>
          <w:vertAlign w:val="superscript"/>
        </w:rPr>
      </w:pPr>
      <w:r>
        <w:rPr>
          <w:vertAlign w:val="superscript"/>
        </w:rPr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52" w:before="0" w:after="0"/>
        <w:ind w:hanging="0" w:left="708" w:right="0"/>
        <w:jc w:val="left"/>
        <w:rPr>
          <w:sz w:val="20"/>
        </w:rPr>
      </w:pPr>
      <w:r>
        <w:rPr>
          <w:sz w:val="20"/>
        </w:rPr>
        <w:t xml:space="preserve"> </w:t>
      </w:r>
    </w:p>
    <w:p>
      <w:pPr>
        <w:pStyle w:val="Normal"/>
        <w:spacing w:lineRule="auto" w:line="264" w:before="0" w:after="10"/>
        <w:ind w:hanging="10" w:left="714" w:right="774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74"/>
        <w:jc w:val="center"/>
        <w:rPr/>
      </w:pPr>
      <w:r>
        <w:rPr/>
      </w:r>
    </w:p>
    <w:p>
      <w:pPr>
        <w:pStyle w:val="Normal"/>
        <w:spacing w:lineRule="auto" w:line="264" w:before="0" w:after="10"/>
        <w:ind w:hanging="10" w:left="714" w:right="774"/>
        <w:jc w:val="center"/>
        <w:rPr/>
      </w:pPr>
      <w:r>
        <w:rPr/>
      </w:r>
    </w:p>
    <w:sectPr>
      <w:footnotePr>
        <w:numFmt w:val="decimal"/>
      </w:footnotePr>
      <w:type w:val="nextPage"/>
      <w:pgSz w:orient="landscape" w:w="16838" w:h="11906"/>
      <w:pgMar w:left="748" w:right="584" w:gutter="0" w:header="0" w:top="1168" w:footer="0" w:bottom="777"/>
      <w:pgNumType w:fmt="none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Open Sans">
    <w:charset w:val="01"/>
    <w:family w:val="auto"/>
    <w:pitch w:val="variable"/>
  </w:font>
  <w:font w:name="Trebuchet MS">
    <w:charset w:val="01"/>
    <w:family w:val="swiss"/>
    <w:pitch w:val="variable"/>
  </w:font>
  <w:font w:name="Calibri">
    <w:altName w:val="Trebuchet MS"/>
    <w:charset w:val="01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description"/>
        <w:spacing w:lineRule="auto" w:line="288"/>
        <w:ind w:hanging="0" w:left="0" w:right="69"/>
        <w:rPr/>
      </w:pPr>
      <w:r>
        <w:rPr>
          <w:rStyle w:val="Style5"/>
        </w:rPr>
        <w:footnoteRef/>
      </w:r>
      <w:r>
        <w:rPr/>
      </w:r>
    </w:p>
  </w:footnote>
  <w:footnote w:id="3">
    <w:p>
      <w:pPr>
        <w:pStyle w:val="footnotedescription"/>
        <w:spacing w:lineRule="auto" w:line="276"/>
        <w:ind w:hanging="0" w:left="0" w:right="0"/>
        <w:rPr/>
      </w:pPr>
      <w:r>
        <w:rPr>
          <w:rStyle w:val="Style5"/>
        </w:rPr>
        <w:footnoteRef/>
      </w:r>
      <w:r>
        <w:rPr/>
      </w:r>
    </w:p>
  </w:footnote>
  <w:footnote w:id="4">
    <w:p>
      <w:pPr>
        <w:pStyle w:val="footnotedescription"/>
        <w:ind w:hanging="0" w:left="0" w:right="77"/>
        <w:rPr/>
      </w:pPr>
      <w:r>
        <w:rPr>
          <w:rStyle w:val="Style5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isLgl/>
      <w:numFmt w:val="decimal"/>
      <w:lvlText w:val="%1."/>
      <w:lvlJc w:val="left"/>
      <w:pPr>
        <w:tabs>
          <w:tab w:val="num" w:pos="720"/>
        </w:tabs>
        <w:ind w:left="1064" w:hanging="0"/>
      </w:pPr>
      <w:rPr>
        <w:dstrike w:val="false"/>
        <w:strike w:val="false"/>
        <w:vertAlign w:val="baseline"/>
        <w:position w:val="0"/>
        <w:sz w:val="28"/>
        <w:sz w:val="28"/>
        <w:i w:val="false"/>
        <w:u w:val="none"/>
        <w:b w:val="false"/>
        <w:shd w:fill="auto" w:val="clear"/>
        <w:szCs w:val="28"/>
        <w:rFonts w:ascii="Times New Roman" w:hAnsi="Times New Roman" w:eastAsia="Times New Roman" w:cs="Times New Roman"/>
        <w:color w:val="000000"/>
      </w:rPr>
    </w:lvl>
    <w:lvl w:ilvl="1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3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4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5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6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7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8">
      <w:start w:val="1"/>
      <w:isLgl/>
      <w:numFmt w:val="bullet"/>
      <w:lvlText w:val="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Droid Sans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overflowPunct w:val="false"/>
      <w:bidi w:val="0"/>
      <w:spacing w:lineRule="auto" w:line="264" w:before="0" w:after="15"/>
      <w:ind w:firstLine="710" w:left="0" w:right="4094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Heading1Char"/>
    <w:qFormat/>
    <w:pPr>
      <w:keepNext w:val="true"/>
      <w:keepLines/>
      <w:numPr>
        <w:ilvl w:val="0"/>
        <w:numId w:val="0"/>
      </w:numPr>
      <w:spacing w:before="360" w:after="80"/>
      <w:ind w:firstLine="710" w:left="0"/>
      <w:outlineLvl w:val="0"/>
    </w:pPr>
    <w:rPr>
      <w:rFonts w:ascii="Arial" w:hAnsi="Arial" w:eastAsia="Arial" w:cs="Arial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keepLines/>
      <w:numPr>
        <w:ilvl w:val="0"/>
        <w:numId w:val="0"/>
      </w:numPr>
      <w:spacing w:before="160" w:after="80"/>
      <w:ind w:firstLine="710" w:left="0"/>
      <w:outlineLvl w:val="1"/>
    </w:pPr>
    <w:rPr>
      <w:rFonts w:ascii="Arial" w:hAnsi="Arial" w:eastAsia="Arial" w:cs="Arial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 w:val="true"/>
      <w:keepLines/>
      <w:numPr>
        <w:ilvl w:val="0"/>
        <w:numId w:val="0"/>
      </w:numPr>
      <w:spacing w:before="160" w:after="80"/>
      <w:ind w:firstLine="710" w:left="0"/>
      <w:outlineLvl w:val="2"/>
    </w:pPr>
    <w:rPr>
      <w:rFonts w:ascii="Arial" w:hAnsi="Arial" w:eastAsia="Arial" w:cs="Arial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 w:val="true"/>
      <w:keepLines/>
      <w:numPr>
        <w:ilvl w:val="0"/>
        <w:numId w:val="0"/>
      </w:numPr>
      <w:spacing w:before="80" w:after="40"/>
      <w:ind w:firstLine="710" w:left="0"/>
      <w:outlineLvl w:val="3"/>
    </w:pPr>
    <w:rPr>
      <w:rFonts w:ascii="Arial" w:hAnsi="Arial" w:eastAsia="Arial" w:cs="Arial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Heading5Char"/>
    <w:qFormat/>
    <w:pPr>
      <w:keepNext w:val="true"/>
      <w:keepLines/>
      <w:numPr>
        <w:ilvl w:val="0"/>
        <w:numId w:val="0"/>
      </w:numPr>
      <w:spacing w:before="80" w:after="40"/>
      <w:ind w:firstLine="710" w:left="0"/>
      <w:outlineLvl w:val="4"/>
    </w:pPr>
    <w:rPr>
      <w:rFonts w:ascii="Arial" w:hAnsi="Arial" w:eastAsia="Arial" w:cs="Arial"/>
      <w:color w:themeColor="accent1" w:themeShade="bf" w:val="0F4761"/>
    </w:rPr>
  </w:style>
  <w:style w:type="paragraph" w:styleId="Heading6">
    <w:name w:val="heading 6"/>
    <w:basedOn w:val="Normal"/>
    <w:next w:val="Normal"/>
    <w:link w:val="Heading6Char"/>
    <w:qFormat/>
    <w:pPr>
      <w:keepNext w:val="true"/>
      <w:keepLines/>
      <w:numPr>
        <w:ilvl w:val="0"/>
        <w:numId w:val="0"/>
      </w:numPr>
      <w:spacing w:before="40" w:after="0"/>
      <w:ind w:firstLine="710" w:left="0"/>
      <w:outlineLvl w:val="5"/>
    </w:pPr>
    <w:rPr>
      <w:rFonts w:ascii="Arial" w:hAnsi="Arial" w:eastAsia="Arial" w:cs="Arial"/>
      <w:i/>
      <w:iCs/>
      <w:color w:themeColor="dark1" w:themeTint="a6" w:val="595959"/>
    </w:rPr>
  </w:style>
  <w:style w:type="paragraph" w:styleId="Heading7">
    <w:name w:val="heading 7"/>
    <w:basedOn w:val="Normal"/>
    <w:next w:val="Normal"/>
    <w:link w:val="Heading7Char"/>
    <w:qFormat/>
    <w:pPr>
      <w:keepNext w:val="true"/>
      <w:keepLines/>
      <w:numPr>
        <w:ilvl w:val="0"/>
        <w:numId w:val="0"/>
      </w:numPr>
      <w:spacing w:before="40" w:after="0"/>
      <w:ind w:firstLine="710" w:left="0"/>
      <w:outlineLvl w:val="6"/>
    </w:pPr>
    <w:rPr>
      <w:rFonts w:ascii="Arial" w:hAnsi="Arial" w:eastAsia="Arial" w:cs="Arial"/>
      <w:color w:themeColor="dark1" w:themeTint="a6" w:val="595959"/>
    </w:rPr>
  </w:style>
  <w:style w:type="paragraph" w:styleId="Heading8">
    <w:name w:val="heading 8"/>
    <w:basedOn w:val="Normal"/>
    <w:next w:val="Normal"/>
    <w:link w:val="Heading8Char"/>
    <w:qFormat/>
    <w:pPr>
      <w:keepNext w:val="true"/>
      <w:keepLines/>
      <w:numPr>
        <w:ilvl w:val="0"/>
        <w:numId w:val="0"/>
      </w:numPr>
      <w:spacing w:before="0" w:after="0"/>
      <w:ind w:firstLine="710" w:left="0"/>
      <w:outlineLvl w:val="7"/>
    </w:pPr>
    <w:rPr>
      <w:rFonts w:ascii="Arial" w:hAnsi="Arial" w:eastAsia="Arial" w:cs="Arial"/>
      <w:i/>
      <w:iCs/>
      <w:color w:themeColor="dark1" w:themeTint="d8" w:val="272727"/>
    </w:rPr>
  </w:style>
  <w:style w:type="paragraph" w:styleId="Heading9">
    <w:name w:val="heading 9"/>
    <w:basedOn w:val="Normal"/>
    <w:next w:val="Normal"/>
    <w:link w:val="Heading9Char"/>
    <w:qFormat/>
    <w:pPr>
      <w:keepNext w:val="true"/>
      <w:keepLines/>
      <w:numPr>
        <w:ilvl w:val="0"/>
        <w:numId w:val="0"/>
      </w:numPr>
      <w:spacing w:before="0" w:after="0"/>
      <w:ind w:firstLine="710" w:left="0"/>
      <w:outlineLvl w:val="8"/>
    </w:pPr>
    <w:rPr>
      <w:rFonts w:ascii="Arial" w:hAnsi="Arial" w:eastAsia="Arial" w:cs="Arial"/>
      <w:i/>
      <w:iCs/>
      <w:color w:themeColor="dark1" w:themeTint="d8" w:val="272727"/>
    </w:rPr>
  </w:style>
  <w:style w:type="character" w:styleId="Heading1Char">
    <w:name w:val="Heading 1 Char"/>
    <w:basedOn w:val="DefaultParagraphFont"/>
    <w:qFormat/>
    <w:rPr>
      <w:rFonts w:ascii="Arial" w:hAnsi="Arial" w:eastAsia="Arial" w:cs="Arial"/>
      <w:color w:themeColor="accent1" w:themeShade="bf" w:val="0F4761"/>
      <w:sz w:val="40"/>
      <w:szCs w:val="40"/>
    </w:rPr>
  </w:style>
  <w:style w:type="character" w:styleId="Heading2Char">
    <w:name w:val="Heading 2 Char"/>
    <w:basedOn w:val="DefaultParagraphFont"/>
    <w:qFormat/>
    <w:rPr>
      <w:rFonts w:ascii="Arial" w:hAnsi="Arial" w:eastAsia="Arial" w:cs="Arial"/>
      <w:color w:themeColor="accent1" w:themeShade="bf" w:val="0F4761"/>
      <w:sz w:val="32"/>
      <w:szCs w:val="32"/>
    </w:rPr>
  </w:style>
  <w:style w:type="character" w:styleId="Heading3Char">
    <w:name w:val="Heading 3 Char"/>
    <w:basedOn w:val="DefaultParagraphFont"/>
    <w:qFormat/>
    <w:rPr>
      <w:rFonts w:ascii="Arial" w:hAnsi="Arial" w:eastAsia="Arial" w:cs="Arial"/>
      <w:color w:themeColor="accent1" w:themeShade="bf" w:val="0F4761"/>
      <w:sz w:val="28"/>
      <w:szCs w:val="28"/>
    </w:rPr>
  </w:style>
  <w:style w:type="character" w:styleId="Heading4Char">
    <w:name w:val="Heading 4 Char"/>
    <w:basedOn w:val="DefaultParagraphFont"/>
    <w:qFormat/>
    <w:rPr>
      <w:rFonts w:ascii="Arial" w:hAnsi="Arial" w:eastAsia="Arial" w:cs="Arial"/>
      <w:i/>
      <w:iCs/>
      <w:color w:themeColor="accent1" w:themeShade="bf" w:val="0F4761"/>
    </w:rPr>
  </w:style>
  <w:style w:type="character" w:styleId="Heading5Char">
    <w:name w:val="Heading 5 Char"/>
    <w:basedOn w:val="DefaultParagraphFont"/>
    <w:qFormat/>
    <w:rPr>
      <w:rFonts w:ascii="Arial" w:hAnsi="Arial" w:eastAsia="Arial" w:cs="Arial"/>
      <w:color w:themeColor="accent1" w:themeShade="bf" w:val="0F4761"/>
    </w:rPr>
  </w:style>
  <w:style w:type="character" w:styleId="Heading6Char">
    <w:name w:val="Heading 6 Char"/>
    <w:basedOn w:val="DefaultParagraphFont"/>
    <w:qFormat/>
    <w:rPr>
      <w:rFonts w:ascii="Arial" w:hAnsi="Arial" w:eastAsia="Arial" w:cs="Arial"/>
      <w:i/>
      <w:iCs/>
      <w:color w:themeColor="dark1" w:themeTint="a6" w:val="595959"/>
    </w:rPr>
  </w:style>
  <w:style w:type="character" w:styleId="Heading7Char">
    <w:name w:val="Heading 7 Char"/>
    <w:basedOn w:val="DefaultParagraphFont"/>
    <w:qFormat/>
    <w:rPr>
      <w:rFonts w:ascii="Arial" w:hAnsi="Arial" w:eastAsia="Arial" w:cs="Arial"/>
      <w:color w:themeColor="dark1" w:themeTint="a6" w:val="595959"/>
    </w:rPr>
  </w:style>
  <w:style w:type="character" w:styleId="Heading8Char">
    <w:name w:val="Heading 8 Char"/>
    <w:basedOn w:val="DefaultParagraphFont"/>
    <w:qFormat/>
    <w:rPr>
      <w:rFonts w:ascii="Arial" w:hAnsi="Arial" w:eastAsia="Arial" w:cs="Arial"/>
      <w:i/>
      <w:iCs/>
      <w:color w:themeColor="dark1" w:themeTint="d8" w:val="272727"/>
    </w:rPr>
  </w:style>
  <w:style w:type="character" w:styleId="Heading9Char">
    <w:name w:val="Heading 9 Char"/>
    <w:basedOn w:val="DefaultParagraphFont"/>
    <w:qFormat/>
    <w:rPr>
      <w:rFonts w:ascii="Arial" w:hAnsi="Arial" w:eastAsia="Arial" w:cs="Arial"/>
      <w:i/>
      <w:iCs/>
      <w:color w:themeColor="dark1" w:themeTint="d8" w:val="272727"/>
    </w:rPr>
  </w:style>
  <w:style w:type="character" w:styleId="TitleChar">
    <w:name w:val="Title Char"/>
    <w:basedOn w:val="DefaultParagraphFont"/>
    <w:qFormat/>
    <w:rPr>
      <w:rFonts w:ascii="Arial" w:hAnsi="Arial" w:eastAsia="Arial" w:cs="Arial"/>
      <w:spacing w:val="-10"/>
      <w:sz w:val="56"/>
      <w:szCs w:val="56"/>
    </w:rPr>
  </w:style>
  <w:style w:type="character" w:styleId="SubtitleChar">
    <w:name w:val="Subtitle Char"/>
    <w:basedOn w:val="DefaultParagraphFont"/>
    <w:qFormat/>
    <w:rPr>
      <w:color w:themeColor="dark1" w:themeTint="a6" w:val="595959"/>
      <w:spacing w:val="15"/>
      <w:sz w:val="28"/>
      <w:szCs w:val="28"/>
    </w:rPr>
  </w:style>
  <w:style w:type="character" w:styleId="QuoteChar">
    <w:name w:val="Quote Char"/>
    <w:basedOn w:val="DefaultParagraphFont"/>
    <w:link w:val="Quote"/>
    <w:qFormat/>
    <w:rPr>
      <w:i/>
      <w:iCs/>
      <w:color w:themeColor="dark1" w:themeTint="bf" w:val="404040"/>
    </w:rPr>
  </w:style>
  <w:style w:type="character" w:styleId="IntenseEmphasis">
    <w:name w:val="Intense Emphasis"/>
    <w:basedOn w:val="DefaultParagraphFont"/>
    <w:qFormat/>
    <w:rPr>
      <w:i/>
      <w:iCs/>
      <w:color w:themeColor="accent1" w:themeShade="bf" w:val="0F4761"/>
    </w:rPr>
  </w:style>
  <w:style w:type="character" w:styleId="IntenseQuoteChar">
    <w:name w:val="Intense Quote Char"/>
    <w:basedOn w:val="DefaultParagraphFont"/>
    <w:link w:val="IntenseQuote"/>
    <w:qFormat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qFormat/>
    <w:rPr>
      <w:b/>
      <w:bCs/>
      <w:smallCaps/>
      <w:color w:themeColor="accent1" w:themeShade="bf" w:val="0F4761"/>
      <w:spacing w:val="5"/>
    </w:rPr>
  </w:style>
  <w:style w:type="character" w:styleId="SubtleEmphasis">
    <w:name w:val="Subtle Emphasis"/>
    <w:basedOn w:val="DefaultParagraphFont"/>
    <w:qFormat/>
    <w:rPr>
      <w:i/>
      <w:iCs/>
      <w:color w:themeColor="dark1" w:themeTint="bf" w:val="404040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Strong">
    <w:name w:val="Strong"/>
    <w:basedOn w:val="DefaultParagraphFont"/>
    <w:qFormat/>
    <w:rPr>
      <w:b/>
      <w:bCs/>
    </w:rPr>
  </w:style>
  <w:style w:type="character" w:styleId="SubtleReference">
    <w:name w:val="Subtle Reference"/>
    <w:basedOn w:val="DefaultParagraphFont"/>
    <w:qFormat/>
    <w:rPr>
      <w:smallCaps/>
      <w:color w:themeColor="dark1" w:themeTint="a5" w:val="5A5A5A"/>
    </w:rPr>
  </w:style>
  <w:style w:type="character" w:styleId="BookTitle">
    <w:name w:val="Book Title"/>
    <w:basedOn w:val="DefaultParagraphFont"/>
    <w:qFormat/>
    <w:rPr>
      <w:b/>
      <w:bCs/>
      <w:i/>
      <w:iCs/>
      <w:spacing w:val="5"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FootnoteTextChar">
    <w:name w:val="Footnote Text Char"/>
    <w:basedOn w:val="DefaultParagraphFont"/>
    <w:qFormat/>
    <w:rPr>
      <w:sz w:val="20"/>
      <w:szCs w:val="20"/>
    </w:rPr>
  </w:style>
  <w:style w:type="character" w:styleId="EndnoteTextChar">
    <w:name w:val="Endnote Text Char"/>
    <w:basedOn w:val="DefaultParagraphFont"/>
    <w:qFormat/>
    <w:rPr>
      <w:sz w:val="20"/>
      <w:szCs w:val="20"/>
    </w:rPr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character" w:styleId="FollowedHyperlink">
    <w:name w:val="FollowedHyperlink"/>
    <w:basedOn w:val="DefaultParagraphFont"/>
    <w:rPr>
      <w:color w:themeColor="followedHyperlink" w:val="954F72"/>
      <w:u w:val="single"/>
    </w:rPr>
  </w:style>
  <w:style w:type="character" w:styleId="WW8Num1z0">
    <w:name w:val="WW8Num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z0">
    <w:name w:val="WW8Num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z0">
    <w:name w:val="WW8Num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z0">
    <w:name w:val="WW8Num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5z0">
    <w:name w:val="WW8Num5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6z0">
    <w:name w:val="WW8Num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7z0">
    <w:name w:val="WW8Num7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8z0">
    <w:name w:val="WW8Num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9z0">
    <w:name w:val="WW8Num9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0z0">
    <w:name w:val="WW8Num1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11z0">
    <w:name w:val="WW8Num11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2z0">
    <w:name w:val="WW8Num12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3z0">
    <w:name w:val="WW8Num13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4z0">
    <w:name w:val="WW8Num1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5z0">
    <w:name w:val="WW8Num1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6z0">
    <w:name w:val="WW8Num1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7z0">
    <w:name w:val="WW8Num1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8z0">
    <w:name w:val="WW8Num1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19z0">
    <w:name w:val="WW8Num19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0z0">
    <w:name w:val="WW8Num2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1z0">
    <w:name w:val="WW8Num2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2z0">
    <w:name w:val="WW8Num2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3z0">
    <w:name w:val="WW8Num2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4z0">
    <w:name w:val="WW8Num2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5z0">
    <w:name w:val="WW8Num25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6z0">
    <w:name w:val="WW8Num2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27z0">
    <w:name w:val="WW8Num27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8z0">
    <w:name w:val="WW8Num2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29z0">
    <w:name w:val="WW8Num29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0z0">
    <w:name w:val="WW8Num30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1z0">
    <w:name w:val="WW8Num3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2z0">
    <w:name w:val="WW8Num3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3z0">
    <w:name w:val="WW8Num3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4z0">
    <w:name w:val="WW8Num3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5z0">
    <w:name w:val="WW8Num3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6z0">
    <w:name w:val="WW8Num36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7z0">
    <w:name w:val="WW8Num3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8z0">
    <w:name w:val="WW8Num3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39z0">
    <w:name w:val="WW8Num39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0z0">
    <w:name w:val="WW8Num40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1z0">
    <w:name w:val="WW8Num41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2z0">
    <w:name w:val="WW8Num42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3z0">
    <w:name w:val="WW8Num43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4z0">
    <w:name w:val="WW8Num44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sz w:val="28"/>
      <w:szCs w:val="28"/>
      <w:u w:val="none"/>
      <w:shd w:fill="auto" w:val="clear"/>
      <w:vertAlign w:val="superscript"/>
    </w:rPr>
  </w:style>
  <w:style w:type="character" w:styleId="WW8Num45z0">
    <w:name w:val="WW8Num45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6z0">
    <w:name w:val="WW8Num46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7z0">
    <w:name w:val="WW8Num47z0"/>
    <w:qFormat/>
    <w:rPr>
      <w:rFonts w:ascii="Times New Roman" w:hAnsi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WW8Num48z0">
    <w:name w:val="WW8Num48z0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footnotedescriptionChar">
    <w:name w:val="footnote description Char"/>
    <w:qFormat/>
    <w:rPr>
      <w:rFonts w:ascii="Times New Roman" w:hAnsi="Times New Roman" w:eastAsia="Times New Roman" w:cs="Times New Roman"/>
      <w:color w:val="000000"/>
      <w:sz w:val="28"/>
    </w:rPr>
  </w:style>
  <w:style w:type="character" w:styleId="footnotemark">
    <w:name w:val="footnote mark"/>
    <w:qFormat/>
    <w:rPr>
      <w:rFonts w:ascii="Times New Roman" w:hAnsi="Times New Roman" w:eastAsia="Times New Roman" w:cs="Times New Roman"/>
      <w:color w:val="000000"/>
      <w:sz w:val="28"/>
      <w:vertAlign w:val="superscript"/>
    </w:rPr>
  </w:style>
  <w:style w:type="character" w:styleId="Style5">
    <w:name w:val="Символ сноски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Style6">
    <w:name w:val="Символ концевой сноски"/>
    <w:qFormat/>
    <w:rPr>
      <w:vertAlign w:val="superscript"/>
    </w:rPr>
  </w:style>
  <w:style w:type="character" w:styleId="WW-">
    <w:name w:val="WW-Символ концевой сноски"/>
    <w:qFormat/>
    <w:rPr/>
  </w:style>
  <w:style w:type="character" w:styleId="footnotereference2">
    <w:name w:val="footnote reference2"/>
    <w:qFormat/>
    <w:rPr>
      <w:vertAlign w:val="superscript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Noto Sans CJK SC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8">
    <w:name w:val="Указатель"/>
    <w:basedOn w:val="Normal"/>
    <w:qFormat/>
    <w:pPr>
      <w:suppressLineNumbers/>
    </w:pPr>
    <w:rPr>
      <w:rFonts w:cs="Droid Sans"/>
    </w:rPr>
  </w:style>
  <w:style w:type="paragraph" w:styleId="Title">
    <w:name w:val="Title"/>
    <w:basedOn w:val="Normal"/>
    <w:next w:val="Normal"/>
    <w:link w:val="TitleChar"/>
    <w:qFormat/>
    <w:pPr>
      <w:spacing w:lineRule="auto" w:line="240" w:before="0" w:after="80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pPr/>
    <w:rPr>
      <w:color w:themeColor="dark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qFormat/>
    <w:pPr>
      <w:spacing w:before="160" w:after="0"/>
      <w:jc w:val="center"/>
    </w:pPr>
    <w:rPr>
      <w:i/>
      <w:iCs/>
      <w:color w:themeColor="dark1" w:themeTint="bf" w:val="404040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IntenseQuoteChar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NoSpacing">
    <w:name w:val="No Spacing"/>
    <w:basedOn w:val="Normal"/>
    <w:qFormat/>
    <w:pPr>
      <w:spacing w:lineRule="auto" w:line="240" w:before="0" w:after="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FooterChar"/>
    <w:pPr>
      <w:tabs>
        <w:tab w:val="clear" w:pos="720"/>
        <w:tab w:val="center" w:pos="4844" w:leader="none"/>
        <w:tab w:val="right" w:pos="9689" w:leader="none"/>
      </w:tabs>
      <w:spacing w:lineRule="auto" w:line="240" w:before="0" w:after="0"/>
    </w:pPr>
    <w:rPr/>
  </w:style>
  <w:style w:type="paragraph" w:styleId="EndnoteText">
    <w:name w:val="endnote text"/>
    <w:basedOn w:val="Normal"/>
    <w:link w:val="EndnoteTextChar"/>
    <w:pPr>
      <w:spacing w:lineRule="auto" w:line="240" w:before="0" w:after="0"/>
    </w:pPr>
    <w:rPr>
      <w:sz w:val="20"/>
      <w:szCs w:val="20"/>
    </w:rPr>
  </w:style>
  <w:style w:type="paragraph" w:styleId="TOC1">
    <w:name w:val="toc 1"/>
    <w:basedOn w:val="Normal"/>
    <w:next w:val="Normal"/>
    <w:pPr>
      <w:spacing w:before="0" w:after="100"/>
    </w:pPr>
    <w:rPr/>
  </w:style>
  <w:style w:type="paragraph" w:styleId="TOC2">
    <w:name w:val="toc 2"/>
    <w:basedOn w:val="Normal"/>
    <w:next w:val="Normal"/>
    <w:pPr>
      <w:spacing w:before="0" w:after="100"/>
      <w:ind w:left="220"/>
    </w:pPr>
    <w:rPr/>
  </w:style>
  <w:style w:type="paragraph" w:styleId="TOC3">
    <w:name w:val="toc 3"/>
    <w:basedOn w:val="Normal"/>
    <w:next w:val="Normal"/>
    <w:pPr>
      <w:spacing w:before="0" w:after="100"/>
      <w:ind w:left="440"/>
    </w:pPr>
    <w:rPr/>
  </w:style>
  <w:style w:type="paragraph" w:styleId="TOC4">
    <w:name w:val="toc 4"/>
    <w:basedOn w:val="Normal"/>
    <w:next w:val="Normal"/>
    <w:pPr>
      <w:spacing w:before="0" w:after="100"/>
      <w:ind w:left="660"/>
    </w:pPr>
    <w:rPr/>
  </w:style>
  <w:style w:type="paragraph" w:styleId="TOC5">
    <w:name w:val="toc 5"/>
    <w:basedOn w:val="Normal"/>
    <w:next w:val="Normal"/>
    <w:pPr>
      <w:spacing w:before="0" w:after="100"/>
      <w:ind w:left="880"/>
    </w:pPr>
    <w:rPr/>
  </w:style>
  <w:style w:type="paragraph" w:styleId="TOC6">
    <w:name w:val="toc 6"/>
    <w:basedOn w:val="Normal"/>
    <w:next w:val="Normal"/>
    <w:pPr>
      <w:spacing w:before="0" w:after="100"/>
      <w:ind w:left="1100"/>
    </w:pPr>
    <w:rPr/>
  </w:style>
  <w:style w:type="paragraph" w:styleId="TOC7">
    <w:name w:val="toc 7"/>
    <w:basedOn w:val="Normal"/>
    <w:next w:val="Normal"/>
    <w:pPr>
      <w:spacing w:before="0" w:after="100"/>
      <w:ind w:left="1320"/>
    </w:pPr>
    <w:rPr/>
  </w:style>
  <w:style w:type="paragraph" w:styleId="TOC8">
    <w:name w:val="toc 8"/>
    <w:basedOn w:val="Normal"/>
    <w:next w:val="Normal"/>
    <w:pPr>
      <w:spacing w:before="0" w:after="100"/>
      <w:ind w:left="1540"/>
    </w:pPr>
    <w:rPr/>
  </w:style>
  <w:style w:type="paragraph" w:styleId="TOC9">
    <w:name w:val="toc 9"/>
    <w:basedOn w:val="Normal"/>
    <w:next w:val="Normal"/>
    <w:pPr>
      <w:spacing w:before="0" w:after="100"/>
      <w:ind w:left="1760"/>
    </w:pPr>
    <w:rPr/>
  </w:style>
  <w:style w:type="paragraph" w:styleId="IndexHeading">
    <w:name w:val="index heading"/>
    <w:basedOn w:val="Style7"/>
    <w:pPr/>
    <w:rPr/>
  </w:style>
  <w:style w:type="paragraph" w:styleId="TOCHeading">
    <w:name w:val="TOC Heading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ahoma" w:cs="Droid Sans"/>
      <w:color w:val="auto"/>
      <w:kern w:val="0"/>
      <w:sz w:val="20"/>
      <w:szCs w:val="20"/>
      <w:lang w:val="ru-RU" w:eastAsia="zh-CN" w:bidi="hi-IN"/>
    </w:rPr>
  </w:style>
  <w:style w:type="paragraph" w:styleId="TableofFigures">
    <w:name w:val="table of figures"/>
    <w:basedOn w:val="Normal"/>
    <w:next w:val="Normal"/>
    <w:pPr>
      <w:spacing w:before="0" w:after="0"/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footnotedescription">
    <w:name w:val="footnote description"/>
    <w:next w:val="Normal"/>
    <w:qFormat/>
    <w:pPr>
      <w:widowControl/>
      <w:suppressAutoHyphens w:val="true"/>
      <w:overflowPunct w:val="false"/>
      <w:bidi w:val="0"/>
      <w:spacing w:lineRule="auto" w:line="276" w:before="0" w:after="0"/>
      <w:ind w:firstLine="708" w:left="0" w:right="35"/>
      <w:jc w:val="both"/>
    </w:pPr>
    <w:rPr>
      <w:rFonts w:ascii="Times New Roman" w:hAnsi="Times New Roman" w:eastAsia="Times New Roman" w:cs="Times New Roman"/>
      <w:color w:val="000000"/>
      <w:kern w:val="0"/>
      <w:sz w:val="28"/>
      <w:szCs w:val="22"/>
      <w:lang w:val="en-US" w:eastAsia="zh-CN" w:bidi="ar-SA"/>
    </w:rPr>
  </w:style>
  <w:style w:type="paragraph" w:styleId="Style9">
    <w:name w:val="Содержимое таблицы"/>
    <w:basedOn w:val="Normal"/>
    <w:qFormat/>
    <w:pPr>
      <w:widowControl w:val="false"/>
      <w:suppressLineNumbers/>
    </w:pPr>
    <w:rPr/>
  </w:style>
  <w:style w:type="paragraph" w:styleId="Style10">
    <w:name w:val="Заголовок таблицы"/>
    <w:basedOn w:val="Style9"/>
    <w:qFormat/>
    <w:pPr>
      <w:suppressLineNumbers/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hanging="340" w:left="340" w:right="4094"/>
    </w:pPr>
    <w:rPr>
      <w:sz w:val="20"/>
      <w:szCs w:val="20"/>
    </w:rPr>
  </w:style>
  <w:style w:type="paragraph" w:styleId="Header">
    <w:name w:val="header"/>
    <w:basedOn w:val="HeaderandFooter"/>
    <w:pPr>
      <w:suppressLineNumbers/>
    </w:pPr>
    <w:rPr/>
  </w:style>
  <w:style w:type="paragraph" w:styleId="Style11">
    <w:name w:val="Красная строка"/>
    <w:basedOn w:val="BodyText"/>
    <w:qFormat/>
    <w:pPr>
      <w:spacing w:lineRule="auto" w:line="240"/>
      <w:ind w:firstLine="210" w:left="0" w:right="0"/>
    </w:pPr>
    <w:rPr>
      <w:rFonts w:ascii="Trebuchet MS" w:hAnsi="Trebuchet MS" w:eastAsia="Times New Roman" w:cs="Times New Roman"/>
      <w:sz w:val="24"/>
      <w:szCs w:val="24"/>
      <w:lang w:eastAsia="ru-RU"/>
    </w:rPr>
  </w:style>
  <w:style w:type="paragraph" w:styleId="3">
    <w:name w:val="Основной текст (3)"/>
    <w:basedOn w:val="Normal"/>
    <w:qFormat/>
    <w:pPr>
      <w:widowControl w:val="false"/>
      <w:shd w:val="clear" w:fill="FFFFFF"/>
      <w:spacing w:lineRule="exact" w:line="283" w:before="120" w:after="0"/>
      <w:jc w:val="both"/>
    </w:pPr>
    <w:rPr>
      <w:spacing w:val="3"/>
      <w:sz w:val="22"/>
      <w:szCs w:val="22"/>
    </w:rPr>
  </w:style>
  <w:style w:type="paragraph" w:styleId="ConsPlusCell">
    <w:name w:val="ConsPlu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alibri;Trebuchet MS" w:hAnsi="Calibri;Trebuchet MS" w:eastAsia="Calibri;Trebuchet MS" w:cs="Calibri;Trebuchet MS"/>
      <w:color w:val="auto"/>
      <w:kern w:val="0"/>
      <w:sz w:val="22"/>
      <w:szCs w:val="22"/>
      <w:lang w:val="ru-RU" w:eastAsia="ru-RU" w:bidi="ar-SA"/>
    </w:rPr>
  </w:style>
  <w:style w:type="numbering" w:styleId="Style12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Application>LibreOffice/24.8.4.1$Linux_X86_64 LibreOffice_project/480$Build-1</Application>
  <AppVersion>15.0000</AppVersion>
  <Pages>22</Pages>
  <Words>2845</Words>
  <Characters>19081</Characters>
  <CharactersWithSpaces>21657</CharactersWithSpaces>
  <Paragraphs>741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2025-07-07T07:49:00Z</dcterms:created>
  <dc:creator>Васильчук Л.В.</dc:creator>
  <dc:description/>
  <dc:language>ru-RU</dc:language>
  <cp:lastModifiedBy/>
  <cp:lastPrinted>2025-11-07T12:07:14Z</cp:lastPrinted>
  <dcterms:modified xsi:type="dcterms:W3CDTF">2025-11-11T08:42:01Z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